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A20C52" w:rsidRDefault="00A20C52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26.09.2023                                  № 550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BF33DD" w:rsidRDefault="00BF33DD" w:rsidP="00BF33DD">
      <w:pPr>
        <w:jc w:val="both"/>
        <w:rPr>
          <w:rStyle w:val="af6"/>
          <w:b w:val="0"/>
          <w:bCs/>
          <w:szCs w:val="28"/>
        </w:rPr>
      </w:pPr>
    </w:p>
    <w:p w:rsidR="00BF33DD" w:rsidRPr="008957F7" w:rsidRDefault="00BF33DD" w:rsidP="00BF33D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proofErr w:type="gramStart"/>
      <w:r w:rsidRPr="008957F7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  <w:szCs w:val="28"/>
        </w:rPr>
        <w:t xml:space="preserve"> район, рассмотрело поступивший 6 сентября 2023 года проект постановления администрации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  <w:szCs w:val="28"/>
        </w:rPr>
        <w:t xml:space="preserve"> район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</w:t>
      </w:r>
      <w:proofErr w:type="gramEnd"/>
      <w:r w:rsidRPr="008957F7">
        <w:rPr>
          <w:rStyle w:val="af6"/>
          <w:b w:val="0"/>
          <w:bCs/>
          <w:color w:val="auto"/>
          <w:szCs w:val="28"/>
        </w:rPr>
        <w:t xml:space="preserve"> муниципальных услуг в социальной сфере в соответствии с социальным сертификатом» (далее – проект), направленный для подготовки настоящего Заключения управлением образованием администрации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  <w:szCs w:val="28"/>
        </w:rPr>
        <w:t xml:space="preserve"> район (далее – разработчик), и сообщает следующее.</w:t>
      </w:r>
    </w:p>
    <w:p w:rsidR="00BF33DD" w:rsidRPr="008957F7" w:rsidRDefault="00BF33DD" w:rsidP="00BF33DD">
      <w:pPr>
        <w:ind w:firstLine="709"/>
        <w:jc w:val="both"/>
      </w:pPr>
      <w:proofErr w:type="gramStart"/>
      <w:r w:rsidRPr="008957F7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</w:t>
      </w:r>
      <w:r w:rsidRPr="008957F7">
        <w:rPr>
          <w:rStyle w:val="af6"/>
          <w:b w:val="0"/>
          <w:bCs/>
          <w:color w:val="auto"/>
        </w:rPr>
        <w:lastRenderedPageBreak/>
        <w:t xml:space="preserve">администрации муниципального образования </w:t>
      </w:r>
      <w:proofErr w:type="spellStart"/>
      <w:r w:rsidRPr="008957F7">
        <w:rPr>
          <w:rStyle w:val="af6"/>
          <w:b w:val="0"/>
          <w:bCs/>
          <w:color w:val="auto"/>
        </w:rPr>
        <w:t>Усть-Лабинский</w:t>
      </w:r>
      <w:proofErr w:type="spellEnd"/>
      <w:r w:rsidRPr="008957F7">
        <w:rPr>
          <w:rStyle w:val="af6"/>
          <w:b w:val="0"/>
          <w:bCs/>
          <w:color w:val="auto"/>
        </w:rPr>
        <w:t xml:space="preserve"> район от 24.11.2021 № 1129 (далее – Порядок), проект подлежит</w:t>
      </w:r>
      <w:r w:rsidRPr="008957F7">
        <w:rPr>
          <w:szCs w:val="28"/>
        </w:rPr>
        <w:t xml:space="preserve"> проведению оценки регулирующего воздействия.</w:t>
      </w:r>
      <w:proofErr w:type="gramEnd"/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Проект направлен разработчиком для проведения оценки регулирующего воздействия впервые.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Проект содержит положения, имеющие высокую степень регулирующего воздействия.</w:t>
      </w:r>
    </w:p>
    <w:p w:rsidR="00BF33DD" w:rsidRPr="008957F7" w:rsidRDefault="00BF33DD" w:rsidP="00BF33DD">
      <w:pPr>
        <w:tabs>
          <w:tab w:val="left" w:pos="709"/>
        </w:tabs>
        <w:jc w:val="both"/>
        <w:rPr>
          <w:szCs w:val="28"/>
        </w:rPr>
      </w:pPr>
      <w:r w:rsidRPr="008957F7">
        <w:rPr>
          <w:szCs w:val="28"/>
        </w:rPr>
        <w:tab/>
      </w:r>
      <w:proofErr w:type="gramStart"/>
      <w:r w:rsidRPr="008957F7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BF33DD" w:rsidRPr="008957F7" w:rsidRDefault="00BF33DD" w:rsidP="00BF33DD">
      <w:pPr>
        <w:tabs>
          <w:tab w:val="left" w:pos="709"/>
        </w:tabs>
        <w:jc w:val="both"/>
        <w:rPr>
          <w:szCs w:val="28"/>
        </w:rPr>
      </w:pPr>
      <w:r w:rsidRPr="008957F7">
        <w:rPr>
          <w:szCs w:val="28"/>
        </w:rPr>
        <w:tab/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8957F7">
        <w:rPr>
          <w:szCs w:val="28"/>
        </w:rPr>
        <w:t>Усть-Лабинский</w:t>
      </w:r>
      <w:proofErr w:type="spellEnd"/>
      <w:r w:rsidRPr="008957F7">
        <w:rPr>
          <w:szCs w:val="28"/>
        </w:rPr>
        <w:t xml:space="preserve"> район «</w:t>
      </w:r>
      <w:r w:rsidRPr="008957F7">
        <w:rPr>
          <w:rStyle w:val="af6"/>
          <w:b w:val="0"/>
          <w:bCs/>
          <w:color w:val="auto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8957F7">
        <w:rPr>
          <w:szCs w:val="28"/>
        </w:rPr>
        <w:t>».</w:t>
      </w:r>
    </w:p>
    <w:p w:rsidR="00BF33DD" w:rsidRPr="008957F7" w:rsidRDefault="00BF33DD" w:rsidP="00BF33DD">
      <w:pPr>
        <w:tabs>
          <w:tab w:val="left" w:pos="709"/>
        </w:tabs>
        <w:jc w:val="both"/>
        <w:rPr>
          <w:szCs w:val="28"/>
        </w:rPr>
      </w:pPr>
      <w:r w:rsidRPr="008957F7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BF33DD" w:rsidRPr="008957F7" w:rsidRDefault="00BF33DD" w:rsidP="00BF33DD">
      <w:pPr>
        <w:tabs>
          <w:tab w:val="left" w:pos="709"/>
        </w:tabs>
        <w:jc w:val="both"/>
        <w:rPr>
          <w:szCs w:val="28"/>
        </w:rPr>
      </w:pPr>
      <w:r w:rsidRPr="008957F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BF33DD" w:rsidRPr="008957F7" w:rsidRDefault="00BF33DD" w:rsidP="00BF33DD">
      <w:pPr>
        <w:tabs>
          <w:tab w:val="left" w:pos="567"/>
        </w:tabs>
        <w:jc w:val="both"/>
        <w:rPr>
          <w:szCs w:val="28"/>
        </w:rPr>
      </w:pPr>
      <w:r w:rsidRPr="008957F7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1. проблема, на решение которой направлено правовое регулирование, сформулирована точно;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2. определены потенциальные адресаты предлагаемого правового регулирования;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3. цель предлагаемого правового регулирования определена объективно: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- срок достижения заявленных целей – в день, следующий за днем его официального опубликования, в связи с чем, отсутствует необходимость в последующем мониторинге достижения целей;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8957F7">
        <w:rPr>
          <w:szCs w:val="28"/>
        </w:rPr>
        <w:t>Усть-Лабинский</w:t>
      </w:r>
      <w:proofErr w:type="spellEnd"/>
      <w:r w:rsidRPr="008957F7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BF33DD" w:rsidRPr="008957F7" w:rsidRDefault="00BF33DD" w:rsidP="00BF33DD">
      <w:pPr>
        <w:ind w:firstLine="709"/>
        <w:jc w:val="both"/>
        <w:rPr>
          <w:szCs w:val="28"/>
        </w:rPr>
      </w:pPr>
      <w:r w:rsidRPr="008957F7">
        <w:rPr>
          <w:szCs w:val="28"/>
        </w:rPr>
        <w:t>- риски введения предлагаемого правового регулирования, отсутствуют.</w:t>
      </w:r>
    </w:p>
    <w:p w:rsidR="00BF33DD" w:rsidRPr="008957F7" w:rsidRDefault="00BF33DD" w:rsidP="00BF33DD">
      <w:pPr>
        <w:tabs>
          <w:tab w:val="left" w:pos="567"/>
        </w:tabs>
        <w:jc w:val="both"/>
        <w:rPr>
          <w:szCs w:val="28"/>
        </w:rPr>
      </w:pPr>
      <w:r w:rsidRPr="008957F7">
        <w:rPr>
          <w:szCs w:val="28"/>
        </w:rPr>
        <w:tab/>
        <w:t>В соответствии с Порядком установлено следующее:</w:t>
      </w:r>
    </w:p>
    <w:p w:rsidR="00BF33DD" w:rsidRPr="008957F7" w:rsidRDefault="00BF33DD" w:rsidP="00BF33D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957F7">
        <w:rPr>
          <w:szCs w:val="28"/>
        </w:rPr>
        <w:lastRenderedPageBreak/>
        <w:t xml:space="preserve">1. Потенциальными группами участников общественных отношений, интересы которых будут затронуты правовым регулированием, являются </w:t>
      </w:r>
      <w:r w:rsidRPr="008957F7">
        <w:rPr>
          <w:rFonts w:eastAsia="Calibri"/>
          <w:szCs w:val="28"/>
          <w:lang w:eastAsia="en-US"/>
        </w:rPr>
        <w:t>юридические лица, индивидуальные предприниматели,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Pr="008957F7">
        <w:rPr>
          <w:szCs w:val="28"/>
        </w:rPr>
        <w:t>.</w:t>
      </w:r>
    </w:p>
    <w:p w:rsidR="00BF33DD" w:rsidRPr="008957F7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7F7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заключается в невозможности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 </w:t>
      </w:r>
    </w:p>
    <w:p w:rsidR="00BF33DD" w:rsidRPr="008957F7" w:rsidRDefault="00BF33DD" w:rsidP="00BF33DD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8957F7">
        <w:rPr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 w:rsidRPr="008957F7">
        <w:rPr>
          <w:b/>
          <w:szCs w:val="28"/>
        </w:rPr>
        <w:t xml:space="preserve"> </w:t>
      </w:r>
    </w:p>
    <w:p w:rsidR="00BF33DD" w:rsidRPr="008957F7" w:rsidRDefault="00BF33DD" w:rsidP="00BF33D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5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BF33DD" w:rsidRPr="008957F7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7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57F7">
        <w:rPr>
          <w:rFonts w:ascii="Times New Roman" w:hAnsi="Times New Roman" w:cs="Times New Roman"/>
          <w:sz w:val="28"/>
          <w:szCs w:val="28"/>
        </w:rPr>
        <w:t>Цель проекта отвечает принципам правового регулирования, установленным законодательством Российской Федерации и Краснодарского края, и заключается в предоставлении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BF33DD" w:rsidRPr="008957F7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7F7">
        <w:rPr>
          <w:rFonts w:ascii="Times New Roman" w:hAnsi="Times New Roman" w:cs="Times New Roman"/>
          <w:sz w:val="28"/>
          <w:szCs w:val="28"/>
        </w:rPr>
        <w:t>4. Проект МНПА содержит положения, которые устанавливают новые обязанности потенциальных адресатов предлагаемого проектом правового регулирования в части:</w:t>
      </w:r>
    </w:p>
    <w:p w:rsidR="00BF33DD" w:rsidRPr="008957F7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7F7">
        <w:rPr>
          <w:rFonts w:ascii="Times New Roman" w:hAnsi="Times New Roman" w:cs="Times New Roman"/>
          <w:sz w:val="28"/>
          <w:szCs w:val="28"/>
        </w:rPr>
        <w:t>- 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BF33DD" w:rsidRPr="008957F7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7F7">
        <w:rPr>
          <w:rFonts w:ascii="Times New Roman" w:hAnsi="Times New Roman" w:cs="Times New Roman"/>
          <w:sz w:val="28"/>
          <w:szCs w:val="28"/>
        </w:rPr>
        <w:t>- по подготовке и представлению ежемесячной отчетности;</w:t>
      </w:r>
    </w:p>
    <w:p w:rsidR="00BF33DD" w:rsidRDefault="00BF33DD" w:rsidP="00BF33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случае выявленных нарушений устранить фак</w:t>
      </w:r>
      <w:proofErr w:type="gramStart"/>
      <w:r>
        <w:rPr>
          <w:szCs w:val="28"/>
        </w:rPr>
        <w:t>т(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>) нарушения в течение 3 рабочих дней;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Т</w:t>
      </w:r>
      <w:r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проверки.</w:t>
      </w:r>
      <w:proofErr w:type="gramEnd"/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заключаются в следующем.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риски возникновения негативных последствий для получателей субсидий, связанные с правовой неопределенностью вводимых норм, которая приведет к затруднениям при заключении соглашения, предоставления отчетности. Так в Порядке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(далее – Порядок) по тексту указывается, что: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Размер субсидии, предоставляемый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получателю субсидии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bookmarkStart w:id="1" w:name="_Hlk112233153"/>
      <w:r>
        <w:rPr>
          <w:rFonts w:ascii="Times New Roman" w:hAnsi="Times New Roman" w:cs="Times New Roman"/>
          <w:b/>
          <w:sz w:val="28"/>
          <w:szCs w:val="28"/>
          <w:u w:val="single"/>
        </w:rPr>
        <w:t>определяется в формируемом уполномоченным органом расчете по форме, устанавливаемой Соглашением</w:t>
      </w:r>
      <w:r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>
        <w:rPr>
          <w:rFonts w:ascii="Times New Roman" w:hAnsi="Times New Roman" w:cs="Times New Roman"/>
          <w:sz w:val="28"/>
          <w:szCs w:val="28"/>
        </w:rPr>
        <w:t>:…….»;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«Размер субсидий, предоставляемых в соответствии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 соглашениями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Субсидия перечисляется уполномоченным органом в целях оплаты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возмещения затрат в сроки,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предусмотренные соглашением, после принятия отчета об исполнении соглашения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форма соглашения, с соответствующими приложениями, не определена.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пункте 8 Порядка указано: «8. Уполномоченный орган в течение 5 рабочих дней после представления получателем субсидии отчета осуществляет проверку отчета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наличия требуемых документов</w:t>
      </w:r>
      <w:r>
        <w:rPr>
          <w:rFonts w:ascii="Times New Roman" w:hAnsi="Times New Roman" w:cs="Times New Roman"/>
          <w:sz w:val="28"/>
          <w:szCs w:val="28"/>
        </w:rPr>
        <w:t>», но исчерпывающий перечень требуемых документов не раскрыт.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определить форму соглашения с соответствующими приложениями и перечень документов, предоставляемых в уполномоченный орган.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  <w:t xml:space="preserve">6. Расходы потенциальных адресатов предлагаемого правового регулирования предполагаются в виде в виде информационных издержек, связанных с предоставлением пакета документов и предоставления отчетности и составят примерно 1096,62 рублей в расчете на 1 заявителя 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669, информационные издержки регулирования включают в себя </w:t>
      </w:r>
      <w:r>
        <w:rPr>
          <w:szCs w:val="28"/>
        </w:rPr>
        <w:lastRenderedPageBreak/>
        <w:t>затраты на подготовку и представление информации в соответствии с требованиями проекта.</w:t>
      </w:r>
    </w:p>
    <w:p w:rsidR="00BF33DD" w:rsidRDefault="00BF33DD" w:rsidP="00BF33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hAnsi="Times New Roman" w:cs="Times New Roman"/>
          <w:sz w:val="28"/>
          <w:szCs w:val="28"/>
          <w:lang w:val="en-US"/>
        </w:rPr>
        <w:t>regulation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 Название требования: предоставление пакета документов;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предоставление информации;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раздел требования: информационное;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информационный элемент: название: предоставление пакета документов;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написание любого документа низкого уровня сложности (менее 5 стр. печатного текста) - 0,3 чел./часов;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составление, сбор и подготовка необходимых документов – 2,00 чел./часов;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46 058,00 руб.;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274,15 руб.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общая стоимость требования: 548,31 руб.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 Название требования: предоставление отчетности;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формирование информации;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информационный элемент: название: предоставление отчетности;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 сбор сведений, подготовка и предоставление отчета - 2,00 чел./часов;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46 058,00 руб.;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274,15 руб.</w:t>
      </w:r>
    </w:p>
    <w:p w:rsidR="00BF33DD" w:rsidRDefault="00BF33DD" w:rsidP="00BF33D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общая стоимость требования: 548,31 руб.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 </w:t>
      </w:r>
    </w:p>
    <w:p w:rsidR="00BF33DD" w:rsidRDefault="00BF33DD" w:rsidP="00BF33D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 6 сентября 2023 года по 19 сентября 2023 года.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 наличии в представленном проекте положений, указанных в пункте 4.1 Порядка, и о невозможности его дальнейшего согласования.</w:t>
      </w:r>
    </w:p>
    <w:p w:rsidR="00BF33DD" w:rsidRDefault="00BF33DD" w:rsidP="00BF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6D775E" w:rsidRDefault="003C61BE" w:rsidP="00C566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A20C52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E30E45" w:rsidRDefault="00E30E45"/>
    <w:p w:rsidR="001011E9" w:rsidRDefault="001011E9"/>
    <w:p w:rsidR="00E86D4B" w:rsidRDefault="00E86D4B"/>
    <w:p w:rsidR="00E86D4B" w:rsidRDefault="00E86D4B"/>
    <w:p w:rsidR="00E86D4B" w:rsidRDefault="00E86D4B"/>
    <w:p w:rsidR="00E86D4B" w:rsidRDefault="00E86D4B"/>
    <w:p w:rsidR="00E86D4B" w:rsidRDefault="00E86D4B"/>
    <w:p w:rsidR="00E86D4B" w:rsidRDefault="00E86D4B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54" w:rsidRDefault="00D16554" w:rsidP="00112FD6">
      <w:r>
        <w:separator/>
      </w:r>
    </w:p>
  </w:endnote>
  <w:endnote w:type="continuationSeparator" w:id="0">
    <w:p w:rsidR="00D16554" w:rsidRDefault="00D16554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54" w:rsidRDefault="00D16554" w:rsidP="00112FD6">
      <w:r>
        <w:separator/>
      </w:r>
    </w:p>
  </w:footnote>
  <w:footnote w:type="continuationSeparator" w:id="0">
    <w:p w:rsidR="00D16554" w:rsidRDefault="00D16554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802037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67DFA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5217"/>
    <w:rsid w:val="00255463"/>
    <w:rsid w:val="0025591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F02EC"/>
    <w:rsid w:val="004F23DF"/>
    <w:rsid w:val="004F3C25"/>
    <w:rsid w:val="004F63F6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B03A6"/>
    <w:rsid w:val="005B3D63"/>
    <w:rsid w:val="005C12EC"/>
    <w:rsid w:val="005C21B0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30A0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957F7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0C52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42D3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48FE"/>
    <w:rsid w:val="00BE5C22"/>
    <w:rsid w:val="00BF0D40"/>
    <w:rsid w:val="00BF281A"/>
    <w:rsid w:val="00BF33DD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16554"/>
    <w:rsid w:val="00D20483"/>
    <w:rsid w:val="00D24966"/>
    <w:rsid w:val="00D2534A"/>
    <w:rsid w:val="00D25F76"/>
    <w:rsid w:val="00D26B05"/>
    <w:rsid w:val="00D26F77"/>
    <w:rsid w:val="00D32502"/>
    <w:rsid w:val="00D32526"/>
    <w:rsid w:val="00D33951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E082E"/>
    <w:rsid w:val="00DE0D1E"/>
    <w:rsid w:val="00DE3CF8"/>
    <w:rsid w:val="00DE4F77"/>
    <w:rsid w:val="00DE59FB"/>
    <w:rsid w:val="00DE5E07"/>
    <w:rsid w:val="00DE6E20"/>
    <w:rsid w:val="00DF06F3"/>
    <w:rsid w:val="00DF63E4"/>
    <w:rsid w:val="00DF6F99"/>
    <w:rsid w:val="00E026E6"/>
    <w:rsid w:val="00E02F47"/>
    <w:rsid w:val="00E06EB2"/>
    <w:rsid w:val="00E07228"/>
    <w:rsid w:val="00E07C62"/>
    <w:rsid w:val="00E11CD3"/>
    <w:rsid w:val="00E14967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86D4B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E20DA"/>
    <w:rsid w:val="00EE646F"/>
    <w:rsid w:val="00EF085F"/>
    <w:rsid w:val="00EF1737"/>
    <w:rsid w:val="00EF324D"/>
    <w:rsid w:val="00EF4284"/>
    <w:rsid w:val="00EF6297"/>
    <w:rsid w:val="00EF7278"/>
    <w:rsid w:val="00F002E4"/>
    <w:rsid w:val="00F0205D"/>
    <w:rsid w:val="00F036C0"/>
    <w:rsid w:val="00F04267"/>
    <w:rsid w:val="00F052C7"/>
    <w:rsid w:val="00F24AFD"/>
    <w:rsid w:val="00F30CD0"/>
    <w:rsid w:val="00F32080"/>
    <w:rsid w:val="00F33A94"/>
    <w:rsid w:val="00F35316"/>
    <w:rsid w:val="00F4181B"/>
    <w:rsid w:val="00F42ED0"/>
    <w:rsid w:val="00F44F2E"/>
    <w:rsid w:val="00F5007B"/>
    <w:rsid w:val="00F50E00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2189"/>
    <w:rsid w:val="00FD273F"/>
    <w:rsid w:val="00FD519F"/>
    <w:rsid w:val="00FD58F6"/>
    <w:rsid w:val="00FD5EDD"/>
    <w:rsid w:val="00FD64CD"/>
    <w:rsid w:val="00FE227D"/>
    <w:rsid w:val="00FE2502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8E2B-2B0E-48C5-BBA0-CD1EA1B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784</cp:revision>
  <cp:lastPrinted>2023-10-04T11:41:00Z</cp:lastPrinted>
  <dcterms:created xsi:type="dcterms:W3CDTF">2021-06-03T06:37:00Z</dcterms:created>
  <dcterms:modified xsi:type="dcterms:W3CDTF">2023-10-05T11:13:00Z</dcterms:modified>
</cp:coreProperties>
</file>