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28"/>
          <w:szCs w:val="28"/>
        </w:rPr>
        <w:t xml:space="preserve">АКТ № </w:t>
      </w:r>
      <w:r>
        <w:rPr>
          <w:sz w:val="28"/>
          <w:szCs w:val="28"/>
          <w:lang w:val="en-US"/>
        </w:rPr>
        <w:t>3</w:t>
      </w:r>
      <w:r>
        <w:rPr>
          <w:sz w:val="28"/>
          <w:szCs w:val="28"/>
        </w:rPr>
        <w:t>/202</w:t>
      </w:r>
      <w:r>
        <w:rPr>
          <w:sz w:val="28"/>
          <w:szCs w:val="28"/>
          <w:lang w:val="en-US"/>
        </w:rPr>
        <w:t>5</w:t>
      </w:r>
    </w:p>
    <w:p>
      <w:pPr>
        <w:pStyle w:val="Normal"/>
        <w:jc w:val="center"/>
        <w:rPr/>
      </w:pPr>
      <w:r>
        <w:rPr>
          <w:sz w:val="28"/>
          <w:szCs w:val="28"/>
        </w:rPr>
        <w:t xml:space="preserve"> </w:t>
      </w:r>
      <w:r>
        <w:rPr>
          <w:sz w:val="28"/>
          <w:szCs w:val="28"/>
        </w:rPr>
        <w:t xml:space="preserve">плановой проверки соблюдения муниципальным бюджетным </w:t>
      </w:r>
      <w:r>
        <w:rPr>
          <w:sz w:val="28"/>
          <w:szCs w:val="28"/>
          <w:lang w:val="ru-RU"/>
        </w:rPr>
        <w:t xml:space="preserve">учреждением культуры «Межпоселенческий районный Дворец культуры «Кубань» </w:t>
      </w:r>
      <w:r>
        <w:rPr>
          <w:sz w:val="28"/>
          <w:szCs w:val="28"/>
        </w:rPr>
        <w:t xml:space="preserve"> муниципального образования Усть-Лабинский район требований законодательства о контрактной </w:t>
      </w:r>
    </w:p>
    <w:p>
      <w:pPr>
        <w:pStyle w:val="Normal"/>
        <w:jc w:val="center"/>
        <w:rPr/>
      </w:pPr>
      <w:r>
        <w:rPr>
          <w:sz w:val="28"/>
          <w:szCs w:val="28"/>
        </w:rPr>
        <w:t>системе в сфере закупок</w:t>
      </w:r>
    </w:p>
    <w:p>
      <w:pPr>
        <w:pStyle w:val="Normal"/>
        <w:jc w:val="center"/>
        <w:rPr>
          <w:sz w:val="28"/>
          <w:szCs w:val="28"/>
        </w:rPr>
      </w:pPr>
      <w:r>
        <w:rPr>
          <w:sz w:val="28"/>
          <w:szCs w:val="28"/>
        </w:rPr>
      </w:r>
    </w:p>
    <w:p>
      <w:pPr>
        <w:pStyle w:val="Normal"/>
        <w:jc w:val="center"/>
        <w:rPr/>
      </w:pPr>
      <w:r>
        <w:rPr>
          <w:sz w:val="28"/>
          <w:szCs w:val="28"/>
        </w:rPr>
        <w:t>г. Усть-Лабинск</w:t>
        <w:tab/>
        <w:tab/>
        <w:tab/>
        <w:tab/>
        <w:tab/>
        <w:tab/>
        <w:t xml:space="preserve">                                                         </w:t>
      </w:r>
      <w:r>
        <w:rPr>
          <w:sz w:val="28"/>
          <w:szCs w:val="28"/>
          <w:lang w:val="en-US"/>
        </w:rPr>
        <w:t>2</w:t>
      </w:r>
      <w:r>
        <w:rPr>
          <w:sz w:val="28"/>
          <w:szCs w:val="28"/>
          <w:lang w:val="ru-RU"/>
        </w:rPr>
        <w:t>8.02.2025</w:t>
      </w:r>
      <w:r>
        <w:rPr>
          <w:sz w:val="28"/>
          <w:szCs w:val="28"/>
        </w:rPr>
        <w:t xml:space="preserve"> г.</w:t>
      </w:r>
    </w:p>
    <w:p>
      <w:pPr>
        <w:pStyle w:val="Normal"/>
        <w:jc w:val="both"/>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sz w:val="28"/>
          <w:szCs w:val="28"/>
        </w:rPr>
      </w:pPr>
      <w:r>
        <w:rPr>
          <w:sz w:val="28"/>
          <w:szCs w:val="28"/>
        </w:rPr>
      </w:r>
    </w:p>
    <w:p>
      <w:pPr>
        <w:pStyle w:val="Normal"/>
        <w:ind w:firstLine="567"/>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2025 год, </w:t>
      </w:r>
      <w:r>
        <w:rPr>
          <w:sz w:val="28"/>
          <w:szCs w:val="28"/>
          <w:u w:val="none"/>
          <w:lang w:eastAsia="en-US"/>
        </w:rPr>
        <w:t>на основании распоряжения  администрации муниципального образовани</w:t>
      </w:r>
      <w:r>
        <w:rPr>
          <w:sz w:val="28"/>
          <w:szCs w:val="28"/>
          <w:lang w:eastAsia="en-US"/>
        </w:rPr>
        <w:t xml:space="preserve">я               Усть-Лабинский район от </w:t>
      </w:r>
      <w:r>
        <w:rPr>
          <w:sz w:val="28"/>
          <w:szCs w:val="28"/>
          <w:lang w:val="en-US" w:eastAsia="en-US"/>
        </w:rPr>
        <w:t>22</w:t>
      </w:r>
      <w:r>
        <w:rPr>
          <w:bCs/>
          <w:sz w:val="28"/>
          <w:szCs w:val="28"/>
          <w:lang w:eastAsia="en-US"/>
        </w:rPr>
        <w:t>.</w:t>
      </w:r>
      <w:r>
        <w:rPr>
          <w:bCs/>
          <w:sz w:val="28"/>
          <w:szCs w:val="28"/>
          <w:lang w:val="en-US" w:eastAsia="en-US"/>
        </w:rPr>
        <w:t>01</w:t>
      </w:r>
      <w:r>
        <w:rPr>
          <w:bCs/>
          <w:sz w:val="28"/>
          <w:szCs w:val="28"/>
          <w:lang w:eastAsia="en-US"/>
        </w:rPr>
        <w:t>.202</w:t>
      </w:r>
      <w:r>
        <w:rPr>
          <w:bCs/>
          <w:sz w:val="28"/>
          <w:szCs w:val="28"/>
          <w:lang w:val="en-US" w:eastAsia="en-US"/>
        </w:rPr>
        <w:t>5</w:t>
      </w:r>
      <w:r>
        <w:rPr>
          <w:bCs/>
          <w:sz w:val="28"/>
          <w:szCs w:val="28"/>
          <w:lang w:eastAsia="en-US"/>
        </w:rPr>
        <w:t xml:space="preserve"> № </w:t>
      </w:r>
      <w:r>
        <w:rPr>
          <w:bCs/>
          <w:sz w:val="28"/>
          <w:szCs w:val="28"/>
          <w:lang w:val="en-US" w:eastAsia="en-US"/>
        </w:rPr>
        <w:t>12</w:t>
      </w:r>
      <w:r>
        <w:rPr>
          <w:bCs/>
          <w:sz w:val="28"/>
          <w:szCs w:val="28"/>
          <w:lang w:eastAsia="en-US"/>
        </w:rPr>
        <w:t>-р,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в отношении муниципального бюджетн</w:t>
      </w:r>
      <w:r>
        <w:rPr>
          <w:bCs/>
          <w:sz w:val="28"/>
          <w:szCs w:val="28"/>
          <w:lang w:val="ru-RU" w:eastAsia="en-US"/>
        </w:rPr>
        <w:t>ого</w:t>
      </w:r>
      <w:r>
        <w:rPr>
          <w:bCs/>
          <w:sz w:val="28"/>
          <w:szCs w:val="28"/>
          <w:lang w:eastAsia="en-US"/>
        </w:rPr>
        <w:t xml:space="preserve"> </w:t>
      </w:r>
      <w:r>
        <w:rPr>
          <w:bCs/>
          <w:sz w:val="28"/>
          <w:szCs w:val="28"/>
          <w:lang w:val="ru-RU" w:eastAsia="en-US"/>
        </w:rPr>
        <w:t xml:space="preserve">учреждения культуры «Межпоселенческий районный Дворец культуры «Кубань» </w:t>
      </w:r>
      <w:r>
        <w:rPr>
          <w:bCs/>
          <w:sz w:val="28"/>
          <w:szCs w:val="28"/>
          <w:lang w:eastAsia="en-US"/>
        </w:rPr>
        <w:t xml:space="preserve"> муниципального образования Усть-Лабинский район </w:t>
      </w:r>
      <w:r>
        <w:rPr>
          <w:sz w:val="28"/>
          <w:szCs w:val="28"/>
          <w:lang w:eastAsia="en-US"/>
        </w:rPr>
        <w:t>(далее – Заказчик,  МБУК «МРДК «Кубань»)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ind w:firstLine="567"/>
        <w:jc w:val="both"/>
        <w:rPr/>
      </w:pPr>
      <w:r>
        <w:rPr>
          <w:sz w:val="28"/>
          <w:szCs w:val="28"/>
          <w:u w:val="single"/>
          <w:lang w:eastAsia="en-US"/>
        </w:rPr>
        <w:t>Проверяемый период</w:t>
      </w:r>
      <w:r>
        <w:rPr>
          <w:sz w:val="28"/>
          <w:szCs w:val="28"/>
          <w:lang w:eastAsia="en-US"/>
        </w:rPr>
        <w:t>: проверке подлежат закупки за последние 3 года до даты начала проведения проверки.</w:t>
      </w:r>
    </w:p>
    <w:p>
      <w:pPr>
        <w:pStyle w:val="Normal"/>
        <w:ind w:firstLine="567"/>
        <w:jc w:val="both"/>
        <w:rPr/>
      </w:pPr>
      <w:r>
        <w:rPr>
          <w:sz w:val="28"/>
          <w:szCs w:val="28"/>
          <w:u w:val="single"/>
          <w:lang w:eastAsia="en-US"/>
        </w:rPr>
        <w:t>Продолжительность  проверки</w:t>
      </w:r>
      <w:r>
        <w:rPr>
          <w:sz w:val="28"/>
          <w:szCs w:val="28"/>
          <w:lang w:eastAsia="en-US"/>
        </w:rPr>
        <w:t xml:space="preserve">:  с  03.02.2025 года по </w:t>
      </w:r>
      <w:r>
        <w:rPr>
          <w:sz w:val="28"/>
          <w:szCs w:val="28"/>
        </w:rPr>
        <w:t xml:space="preserve">21.02.2025 </w:t>
      </w:r>
      <w:r>
        <w:rPr>
          <w:sz w:val="28"/>
          <w:szCs w:val="28"/>
          <w:lang w:eastAsia="en-US"/>
        </w:rPr>
        <w:t xml:space="preserve">года. </w:t>
      </w:r>
    </w:p>
    <w:p>
      <w:pPr>
        <w:pStyle w:val="Normal"/>
        <w:ind w:firstLine="567"/>
        <w:jc w:val="both"/>
        <w:rPr/>
      </w:pPr>
      <w:r>
        <w:rPr>
          <w:sz w:val="28"/>
          <w:szCs w:val="28"/>
          <w:lang w:eastAsia="en-US"/>
        </w:rPr>
        <w:t>Состав комиссии:</w:t>
      </w:r>
    </w:p>
    <w:p>
      <w:pPr>
        <w:pStyle w:val="Normal"/>
        <w:widowControl w:val="false"/>
        <w:ind w:firstLine="567"/>
        <w:jc w:val="both"/>
        <w:rPr/>
      </w:pPr>
      <w:r>
        <w:rPr>
          <w:rFonts w:eastAsia="" w:eastAsiaTheme="minorEastAsia"/>
          <w:sz w:val="28"/>
          <w:szCs w:val="28"/>
        </w:rPr>
        <w:t xml:space="preserve"> </w:t>
      </w:r>
      <w:r>
        <w:rPr>
          <w:rFonts w:eastAsia="" w:eastAsiaTheme="minorEastAsia"/>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rFonts w:eastAsia="" w:eastAsiaTheme="minorEastAsia"/>
          <w:color w:val="000000"/>
          <w:sz w:val="28"/>
          <w:szCs w:val="28"/>
        </w:rPr>
        <w:t>руководитель комиссии;</w:t>
      </w:r>
    </w:p>
    <w:p>
      <w:pPr>
        <w:pStyle w:val="Normal"/>
        <w:widowControl w:val="false"/>
        <w:ind w:firstLine="567"/>
        <w:jc w:val="both"/>
        <w:rPr/>
      </w:pPr>
      <w:r>
        <w:rPr>
          <w:rFonts w:eastAsia="" w:eastAsiaTheme="minorEastAsia"/>
          <w:sz w:val="28"/>
          <w:szCs w:val="28"/>
        </w:rPr>
        <w:t xml:space="preserve">  </w:t>
      </w:r>
      <w:r>
        <w:rPr>
          <w:rFonts w:eastAsia="" w:eastAsiaTheme="minorEastAsia"/>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ind w:firstLine="567"/>
        <w:jc w:val="both"/>
        <w:rPr/>
      </w:pPr>
      <w:r>
        <w:rPr>
          <w:rFonts w:eastAsia="" w:eastAsiaTheme="minorEastAsia"/>
          <w:sz w:val="28"/>
          <w:szCs w:val="28"/>
        </w:rPr>
        <w:t xml:space="preserve"> </w:t>
      </w:r>
      <w:r>
        <w:rPr>
          <w:rFonts w:eastAsia="" w:eastAsiaTheme="minorEastAsia"/>
          <w:sz w:val="28"/>
          <w:szCs w:val="28"/>
        </w:rPr>
        <w:t>Рындина Евгения Андреевна, главный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ind w:firstLine="567"/>
        <w:jc w:val="both"/>
        <w:rPr/>
      </w:pPr>
      <w:r>
        <w:rPr>
          <w:rFonts w:eastAsia="" w:eastAsiaTheme="minorEastAsia"/>
          <w:sz w:val="28"/>
          <w:szCs w:val="28"/>
          <w:lang w:eastAsia="en-US"/>
        </w:rPr>
        <w:t xml:space="preserve">Адрес местонахождения субъекта проверки: </w:t>
      </w:r>
      <w:r>
        <w:rPr>
          <w:rFonts w:eastAsia="" w:eastAsiaTheme="minorEastAsia"/>
          <w:sz w:val="28"/>
          <w:szCs w:val="28"/>
        </w:rPr>
        <w:t>352330, Краснодарский край, г. Усть-Лабинск, ул. Пролетарская, 104.</w:t>
      </w:r>
    </w:p>
    <w:p>
      <w:pPr>
        <w:pStyle w:val="Normal"/>
        <w:ind w:firstLine="567"/>
        <w:jc w:val="both"/>
        <w:rPr/>
      </w:pPr>
      <w:r>
        <w:rPr>
          <w:sz w:val="28"/>
          <w:szCs w:val="28"/>
          <w:lang w:eastAsia="en-US"/>
        </w:rPr>
        <w:t>В проверяемом периоде руководство МБУК «МРДК «Кубань» осуществлялось</w:t>
      </w:r>
      <w:r>
        <w:rPr>
          <w:rFonts w:eastAsia="" w:eastAsiaTheme="minorEastAsia"/>
          <w:sz w:val="28"/>
          <w:szCs w:val="28"/>
          <w:lang w:eastAsia="en-US"/>
        </w:rPr>
        <w:t xml:space="preserve"> Мельниковой Еленой Викторовной</w:t>
      </w:r>
      <w:r>
        <w:rPr>
          <w:rFonts w:eastAsia="" w:eastAsiaTheme="minorEastAsia"/>
          <w:sz w:val="28"/>
          <w:szCs w:val="28"/>
        </w:rPr>
        <w:t xml:space="preserve"> </w:t>
      </w:r>
      <w:r>
        <w:rPr>
          <w:rFonts w:eastAsia="" w:eastAsiaTheme="minorEastAsia"/>
          <w:sz w:val="28"/>
          <w:szCs w:val="28"/>
          <w:lang w:eastAsia="en-US"/>
        </w:rPr>
        <w:t xml:space="preserve"> в соответствии с приказом  отдела культуры администрации муниципального образования Усть-Лабинский район от 08.04.2022  № 45-л «О приеме работника на работу» с 08.04.2022 года (Приложение № 1).</w:t>
      </w:r>
    </w:p>
    <w:p>
      <w:pPr>
        <w:pStyle w:val="Normal"/>
        <w:widowControl/>
        <w:suppressAutoHyphens w:val="true"/>
        <w:bidi w:val="0"/>
        <w:spacing w:lineRule="auto" w:line="240" w:before="0" w:after="0"/>
        <w:ind w:left="0" w:right="0" w:firstLine="680"/>
        <w:jc w:val="both"/>
        <w:rPr/>
      </w:pPr>
      <w:r>
        <w:rPr>
          <w:rFonts w:eastAsia="" w:eastAsiaTheme="minorEastAsia"/>
          <w:sz w:val="28"/>
          <w:szCs w:val="28"/>
          <w:lang w:eastAsia="en-US"/>
        </w:rPr>
        <w:t>Приказ</w:t>
      </w:r>
      <w:r>
        <w:rPr>
          <w:rFonts w:eastAsia="" w:eastAsiaTheme="minorEastAsia"/>
          <w:sz w:val="28"/>
          <w:szCs w:val="28"/>
          <w:lang w:val="ru-RU" w:eastAsia="en-US"/>
        </w:rPr>
        <w:t>ом</w:t>
      </w:r>
      <w:r>
        <w:rPr>
          <w:rFonts w:eastAsia="" w:eastAsiaTheme="minorEastAsia"/>
          <w:sz w:val="28"/>
          <w:szCs w:val="28"/>
          <w:lang w:eastAsia="en-US"/>
        </w:rPr>
        <w:t xml:space="preserve"> РМБУК «РДК «Кубань» от 09.01.2024 № 26/1 — П «О возложении обязанностей» назначена контрактным управляющим Клименко Екатерина Петровна - заместител</w:t>
      </w:r>
      <w:r>
        <w:rPr>
          <w:rFonts w:eastAsia="" w:eastAsiaTheme="minorEastAsia"/>
          <w:sz w:val="28"/>
          <w:szCs w:val="28"/>
          <w:lang w:val="ru-RU" w:eastAsia="en-US"/>
        </w:rPr>
        <w:t>ь</w:t>
      </w:r>
      <w:r>
        <w:rPr>
          <w:rFonts w:eastAsia="" w:eastAsiaTheme="minorEastAsia"/>
          <w:sz w:val="28"/>
          <w:szCs w:val="28"/>
          <w:lang w:eastAsia="en-US"/>
        </w:rPr>
        <w:t xml:space="preserve"> директора по АХЧ.</w:t>
      </w:r>
    </w:p>
    <w:p>
      <w:pPr>
        <w:pStyle w:val="Normal"/>
        <w:widowControl/>
        <w:suppressAutoHyphens w:val="true"/>
        <w:bidi w:val="0"/>
        <w:spacing w:lineRule="auto" w:line="240" w:before="0" w:after="0"/>
        <w:ind w:left="0" w:right="0" w:firstLine="680"/>
        <w:jc w:val="both"/>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color w:val="000000"/>
          <w:kern w:val="0"/>
          <w:sz w:val="28"/>
          <w:szCs w:val="28"/>
          <w:lang w:val="ru-RU" w:eastAsia="en-US" w:bidi="ar-SA"/>
        </w:rPr>
        <w:t>директора</w:t>
      </w:r>
      <w:r>
        <w:rPr>
          <w:sz w:val="28"/>
          <w:szCs w:val="28"/>
          <w:lang w:eastAsia="en-US"/>
        </w:rPr>
        <w:t xml:space="preserve"> </w:t>
      </w:r>
      <w:r>
        <w:rPr>
          <w:rFonts w:eastAsia="Times New Roman" w:cs="Times New Roman"/>
          <w:color w:val="000000"/>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lang w:eastAsia="en-US"/>
        </w:rPr>
        <w:t>- Должностная инструкция заместителя директора по АХЧ (в т.ч. с функциями контрактного управляющего);</w:t>
      </w:r>
    </w:p>
    <w:p>
      <w:pPr>
        <w:pStyle w:val="Normal"/>
        <w:widowControl/>
        <w:suppressAutoHyphens w:val="true"/>
        <w:bidi w:val="0"/>
        <w:spacing w:lineRule="auto" w:line="240" w:before="0" w:after="0"/>
        <w:ind w:left="0" w:right="0" w:firstLine="680"/>
        <w:jc w:val="both"/>
        <w:rPr/>
      </w:pPr>
      <w:r>
        <w:rPr>
          <w:sz w:val="28"/>
          <w:szCs w:val="28"/>
          <w:lang w:eastAsia="en-US"/>
        </w:rPr>
        <w:t>- План-график закупок товаров, работ, услуг для обеспечения муниципальных нужд (далее – План-график) на 2022, 2023, 2024,                       2025 годы;</w:t>
      </w:r>
    </w:p>
    <w:p>
      <w:pPr>
        <w:pStyle w:val="Normal"/>
        <w:widowControl/>
        <w:suppressAutoHyphens w:val="true"/>
        <w:bidi w:val="0"/>
        <w:spacing w:lineRule="auto" w:line="240" w:before="0" w:after="0"/>
        <w:ind w:left="0" w:right="0" w:firstLine="680"/>
        <w:jc w:val="both"/>
        <w:rPr/>
      </w:pPr>
      <w:r>
        <w:rPr>
          <w:sz w:val="28"/>
          <w:szCs w:val="28"/>
          <w:lang w:eastAsia="en-US"/>
        </w:rPr>
        <w:t xml:space="preserve">- План финансово-хозяйственной деятельности </w:t>
      </w:r>
      <w:r>
        <w:rPr>
          <w:sz w:val="28"/>
          <w:szCs w:val="28"/>
          <w:lang w:val="en-US" w:eastAsia="en-US"/>
        </w:rPr>
        <w:t>(</w:t>
      </w:r>
      <w:r>
        <w:rPr>
          <w:sz w:val="28"/>
          <w:szCs w:val="28"/>
          <w:lang w:val="ru-RU" w:eastAsia="en-US"/>
        </w:rPr>
        <w:t xml:space="preserve">далее </w:t>
      </w:r>
      <w:r>
        <w:rPr>
          <w:sz w:val="28"/>
          <w:szCs w:val="28"/>
          <w:lang w:eastAsia="en-US"/>
        </w:rPr>
        <w:t>– ПФХД) на 2022, 2023, 2024, 2025 финансовые годы;</w:t>
      </w:r>
    </w:p>
    <w:p>
      <w:pPr>
        <w:pStyle w:val="Normal"/>
        <w:widowControl/>
        <w:suppressAutoHyphens w:val="true"/>
        <w:bidi w:val="0"/>
        <w:spacing w:lineRule="auto" w:line="240" w:before="0" w:after="0"/>
        <w:ind w:left="0" w:right="0" w:firstLine="680"/>
        <w:jc w:val="both"/>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2023 отчетные годы;</w:t>
      </w:r>
    </w:p>
    <w:p>
      <w:pPr>
        <w:pStyle w:val="Normal"/>
        <w:widowControl/>
        <w:suppressAutoHyphens w:val="true"/>
        <w:overflowPunct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000000"/>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2023 отчетные годы.</w:t>
      </w:r>
    </w:p>
    <w:p>
      <w:pPr>
        <w:pStyle w:val="Normal"/>
        <w:widowControl/>
        <w:suppressAutoHyphens w:val="true"/>
        <w:bidi w:val="0"/>
        <w:spacing w:lineRule="auto" w:line="240" w:before="0" w:after="0"/>
        <w:ind w:left="0" w:right="170" w:firstLine="680"/>
        <w:jc w:val="both"/>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r>
    </w:p>
    <w:p>
      <w:pPr>
        <w:pStyle w:val="Normal"/>
        <w:widowControl/>
        <w:suppressAutoHyphens w:val="true"/>
        <w:bidi w:val="0"/>
        <w:spacing w:lineRule="auto" w:line="240" w:before="0" w:after="0"/>
        <w:ind w:left="0" w:right="170" w:firstLine="680"/>
        <w:jc w:val="both"/>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color w:val="000000"/>
          <w:sz w:val="28"/>
          <w:szCs w:val="28"/>
        </w:rPr>
        <w:t xml:space="preserve">1. В соответствии с подпунктом </w:t>
      </w:r>
      <w:r>
        <w:rPr>
          <w:color w:val="000000"/>
          <w:sz w:val="28"/>
          <w:szCs w:val="28"/>
          <w:lang w:eastAsia="en-US"/>
        </w:rPr>
        <w:t>«б»</w:t>
      </w:r>
      <w:r>
        <w:rPr>
          <w:color w:val="000000"/>
          <w:sz w:val="28"/>
          <w:szCs w:val="28"/>
        </w:rPr>
        <w:t xml:space="preserve"> пункта 12 </w:t>
      </w:r>
      <w:r>
        <w:rPr>
          <w:color w:val="000000"/>
          <w:sz w:val="28"/>
          <w:szCs w:val="28"/>
          <w:lang w:eastAsia="en-US"/>
        </w:rPr>
        <w:t>Постановлени</w:t>
      </w:r>
      <w:r>
        <w:rPr>
          <w:rFonts w:eastAsia="Times New Roman" w:cs="Times New Roman"/>
          <w:color w:val="000000"/>
          <w:kern w:val="0"/>
          <w:sz w:val="28"/>
          <w:szCs w:val="28"/>
          <w:lang w:val="ru-RU" w:eastAsia="en-US" w:bidi="ar-SA"/>
        </w:rPr>
        <w:t>я</w:t>
      </w:r>
      <w:r>
        <w:rPr>
          <w:color w:val="000000"/>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color w:val="000000"/>
          <w:sz w:val="28"/>
          <w:szCs w:val="28"/>
        </w:rPr>
        <w:t xml:space="preserve">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680"/>
        <w:jc w:val="both"/>
        <w:rPr/>
      </w:pPr>
      <w:r>
        <w:rPr>
          <w:color w:val="000000"/>
          <w:sz w:val="28"/>
          <w:szCs w:val="28"/>
        </w:rPr>
        <w:t xml:space="preserve">Согласно представленной Заказчиком информации </w:t>
      </w:r>
      <w:r>
        <w:rPr>
          <w:rFonts w:eastAsia="Times New Roman" w:cs="Times New Roman"/>
          <w:color w:val="000000"/>
          <w:kern w:val="0"/>
          <w:sz w:val="28"/>
          <w:szCs w:val="28"/>
          <w:lang w:val="ru-RU" w:eastAsia="en-US" w:bidi="ar-SA"/>
        </w:rPr>
        <w:t>ПФХД</w:t>
      </w:r>
      <w:r>
        <w:rPr>
          <w:color w:val="000000"/>
          <w:sz w:val="28"/>
          <w:szCs w:val="28"/>
          <w:lang w:eastAsia="en-US"/>
        </w:rPr>
        <w:t xml:space="preserve"> </w:t>
      </w:r>
      <w:r>
        <w:rPr>
          <w:color w:val="000000"/>
          <w:sz w:val="28"/>
          <w:szCs w:val="28"/>
        </w:rPr>
        <w:t>на 2022 год утвержден 10.01.2022 года,  на 2023 год — 09</w:t>
      </w:r>
      <w:r>
        <w:rPr>
          <w:rFonts w:eastAsia="Times New Roman" w:cs="Times New Roman"/>
          <w:color w:val="000000"/>
          <w:kern w:val="0"/>
          <w:sz w:val="28"/>
          <w:szCs w:val="28"/>
          <w:lang w:val="ru-RU" w:eastAsia="ru-RU" w:bidi="ar-SA"/>
        </w:rPr>
        <w:t>.01.</w:t>
      </w:r>
      <w:r>
        <w:rPr>
          <w:color w:val="000000"/>
          <w:sz w:val="28"/>
          <w:szCs w:val="28"/>
        </w:rPr>
        <w:t>2023 года,                                              на 2024 год — 09</w:t>
      </w:r>
      <w:r>
        <w:rPr>
          <w:rFonts w:eastAsia="Times New Roman" w:cs="Times New Roman"/>
          <w:color w:val="000000"/>
          <w:kern w:val="0"/>
          <w:sz w:val="28"/>
          <w:szCs w:val="28"/>
          <w:lang w:val="ru-RU" w:eastAsia="ru-RU" w:bidi="ar-SA"/>
        </w:rPr>
        <w:t>.01.</w:t>
      </w:r>
      <w:r>
        <w:rPr>
          <w:color w:val="000000"/>
          <w:sz w:val="28"/>
          <w:szCs w:val="28"/>
        </w:rPr>
        <w:t>2024 года, на 2025 год — 09.01</w:t>
      </w:r>
      <w:r>
        <w:rPr>
          <w:rFonts w:eastAsia="Times New Roman" w:cs="Times New Roman"/>
          <w:color w:val="000000"/>
          <w:kern w:val="0"/>
          <w:sz w:val="28"/>
          <w:szCs w:val="28"/>
          <w:lang w:val="ru-RU" w:eastAsia="ru-RU" w:bidi="ar-SA"/>
        </w:rPr>
        <w:t>.</w:t>
      </w:r>
      <w:r>
        <w:rPr>
          <w:color w:val="000000"/>
          <w:sz w:val="28"/>
          <w:szCs w:val="28"/>
        </w:rPr>
        <w:t>2025 года</w:t>
      </w:r>
      <w:r>
        <w:rPr>
          <w:rFonts w:eastAsia="Times New Roman" w:cs="Times New Roman"/>
          <w:bCs/>
          <w:color w:val="000000"/>
          <w:kern w:val="0"/>
          <w:sz w:val="28"/>
          <w:szCs w:val="28"/>
          <w:lang w:val="ru-RU" w:eastAsia="en-US" w:bidi="ar-SA"/>
        </w:rPr>
        <w:t>.</w:t>
      </w:r>
    </w:p>
    <w:p>
      <w:pPr>
        <w:pStyle w:val="Normal"/>
        <w:widowControl/>
        <w:suppressAutoHyphens w:val="true"/>
        <w:bidi w:val="0"/>
        <w:spacing w:lineRule="auto" w:line="240" w:before="0" w:after="0"/>
        <w:ind w:left="0" w:right="0" w:firstLine="709"/>
        <w:jc w:val="both"/>
        <w:rPr/>
      </w:pPr>
      <w:r>
        <w:rPr>
          <w:color w:val="000000"/>
          <w:sz w:val="28"/>
          <w:szCs w:val="28"/>
        </w:rPr>
        <w:t>План-график на 2022 год должен быть утвержден                                                   не позднее 24.01.2022 года, на 2023 год - не позднее 23.01.2023  года,                                      на  2024 год – не позднее 23.01.2024 года, на  2025 год – не                                      позднее 23.01.2025 года.</w:t>
      </w:r>
    </w:p>
    <w:p>
      <w:pPr>
        <w:pStyle w:val="Normal"/>
        <w:widowControl/>
        <w:suppressAutoHyphens w:val="true"/>
        <w:bidi w:val="0"/>
        <w:spacing w:lineRule="auto" w:line="240" w:before="0" w:after="0"/>
        <w:ind w:left="0" w:right="0" w:firstLine="709"/>
        <w:jc w:val="both"/>
        <w:rPr/>
      </w:pPr>
      <w:r>
        <w:rPr>
          <w:color w:val="000000"/>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true"/>
        <w:bidi w:val="0"/>
        <w:spacing w:lineRule="auto" w:line="240" w:before="0" w:after="0"/>
        <w:ind w:left="0" w:right="0" w:firstLine="709"/>
        <w:jc w:val="both"/>
        <w:rPr/>
      </w:pPr>
      <w:r>
        <w:rPr>
          <w:color w:val="000000"/>
          <w:sz w:val="28"/>
          <w:szCs w:val="28"/>
        </w:rPr>
        <w:t>Фактически План-график  на 2022 год утвержден</w:t>
      </w:r>
      <w:r>
        <w:rPr>
          <w:color w:val="000000"/>
          <w:sz w:val="28"/>
          <w:szCs w:val="28"/>
          <w:lang w:val="en-US"/>
        </w:rPr>
        <w:t xml:space="preserve"> </w:t>
      </w:r>
      <w:r>
        <w:rPr>
          <w:color w:val="000000"/>
          <w:sz w:val="28"/>
          <w:szCs w:val="28"/>
          <w:lang w:val="ru-RU"/>
        </w:rPr>
        <w:t>19</w:t>
      </w:r>
      <w:r>
        <w:rPr>
          <w:rFonts w:eastAsia="Times New Roman" w:cs="Times New Roman"/>
          <w:color w:val="000000"/>
          <w:kern w:val="0"/>
          <w:sz w:val="28"/>
          <w:szCs w:val="28"/>
          <w:lang w:val="ru-RU" w:eastAsia="ru-RU" w:bidi="ar-SA"/>
        </w:rPr>
        <w:t>.01.</w:t>
      </w:r>
      <w:r>
        <w:rPr>
          <w:color w:val="000000"/>
          <w:sz w:val="28"/>
          <w:szCs w:val="28"/>
          <w:lang w:val="ru-RU"/>
        </w:rPr>
        <w:t>2022</w:t>
      </w:r>
      <w:r>
        <w:rPr>
          <w:color w:val="000000"/>
          <w:sz w:val="28"/>
          <w:szCs w:val="28"/>
        </w:rPr>
        <w:t xml:space="preserve"> года, на 2023 год — </w:t>
      </w:r>
      <w:r>
        <w:rPr>
          <w:rFonts w:eastAsia="Times New Roman" w:cs="Times New Roman"/>
          <w:color w:val="000000"/>
          <w:kern w:val="0"/>
          <w:sz w:val="28"/>
          <w:szCs w:val="28"/>
          <w:lang w:val="ru-RU" w:eastAsia="ru-RU" w:bidi="ar-SA"/>
        </w:rPr>
        <w:t>11.01.</w:t>
      </w:r>
      <w:r>
        <w:rPr>
          <w:color w:val="000000"/>
          <w:sz w:val="28"/>
          <w:szCs w:val="28"/>
        </w:rPr>
        <w:t>2023 года, на 2024 год –</w:t>
      </w:r>
      <w:r>
        <w:rPr>
          <w:color w:val="000000"/>
          <w:sz w:val="28"/>
          <w:szCs w:val="28"/>
          <w:lang w:val="en-US"/>
        </w:rPr>
        <w:t xml:space="preserve"> </w:t>
      </w:r>
      <w:r>
        <w:rPr>
          <w:color w:val="000000"/>
          <w:sz w:val="28"/>
          <w:szCs w:val="28"/>
          <w:lang w:val="ru-RU"/>
        </w:rPr>
        <w:t>09</w:t>
      </w:r>
      <w:r>
        <w:rPr>
          <w:rFonts w:eastAsia="Times New Roman" w:cs="Times New Roman"/>
          <w:color w:val="000000"/>
          <w:kern w:val="0"/>
          <w:sz w:val="28"/>
          <w:szCs w:val="28"/>
          <w:lang w:val="ru-RU" w:eastAsia="ru-RU" w:bidi="ar-SA"/>
        </w:rPr>
        <w:t>.01.</w:t>
      </w:r>
      <w:r>
        <w:rPr>
          <w:color w:val="000000"/>
          <w:sz w:val="28"/>
          <w:szCs w:val="28"/>
          <w:lang w:val="ru-RU"/>
        </w:rPr>
        <w:t>2024</w:t>
      </w:r>
      <w:r>
        <w:rPr>
          <w:color w:val="000000"/>
          <w:sz w:val="28"/>
          <w:szCs w:val="28"/>
        </w:rPr>
        <w:t xml:space="preserve"> года, на 2025 год –</w:t>
      </w:r>
      <w:r>
        <w:rPr>
          <w:color w:val="000000"/>
          <w:sz w:val="28"/>
          <w:szCs w:val="28"/>
          <w:lang w:val="en-US"/>
        </w:rPr>
        <w:t xml:space="preserve"> </w:t>
      </w:r>
      <w:r>
        <w:rPr>
          <w:rFonts w:eastAsia="Times New Roman" w:cs="Times New Roman"/>
          <w:color w:val="000000"/>
          <w:kern w:val="0"/>
          <w:sz w:val="28"/>
          <w:szCs w:val="28"/>
          <w:lang w:val="ru-RU" w:eastAsia="ru-RU" w:bidi="ar-SA"/>
        </w:rPr>
        <w:t>14</w:t>
      </w:r>
      <w:r>
        <w:rPr>
          <w:rFonts w:eastAsia="Times New Roman" w:cs="Times New Roman"/>
          <w:color w:val="000000"/>
          <w:kern w:val="0"/>
          <w:sz w:val="28"/>
          <w:szCs w:val="28"/>
          <w:lang w:val="en-US" w:eastAsia="ru-RU" w:bidi="ar-SA"/>
        </w:rPr>
        <w:t>.</w:t>
      </w:r>
      <w:r>
        <w:rPr>
          <w:rFonts w:eastAsia="Times New Roman" w:cs="Times New Roman"/>
          <w:color w:val="000000"/>
          <w:kern w:val="0"/>
          <w:sz w:val="28"/>
          <w:szCs w:val="28"/>
          <w:lang w:val="ru-RU" w:eastAsia="ru-RU" w:bidi="ar-SA"/>
        </w:rPr>
        <w:t>01.</w:t>
      </w:r>
      <w:r>
        <w:rPr>
          <w:color w:val="000000"/>
          <w:sz w:val="28"/>
          <w:szCs w:val="28"/>
        </w:rPr>
        <w:t>2025 года, что соответствует требованиям вышеуказанного нормативного правового акта. Нарушений не установлено.</w:t>
      </w:r>
    </w:p>
    <w:p>
      <w:pPr>
        <w:pStyle w:val="Normal"/>
        <w:widowControl/>
        <w:suppressAutoHyphens w:val="true"/>
        <w:bidi w:val="0"/>
        <w:spacing w:lineRule="auto" w:line="240" w:before="0" w:after="0"/>
        <w:ind w:left="0" w:right="0" w:firstLine="680"/>
        <w:jc w:val="both"/>
        <w:rPr/>
      </w:pPr>
      <w:r>
        <w:rPr>
          <w:rFonts w:cs="Calibri"/>
          <w:sz w:val="28"/>
          <w:szCs w:val="28"/>
          <w:lang w:eastAsia="ar-SA"/>
        </w:rPr>
        <w:t>2.</w:t>
      </w:r>
      <w:r>
        <w:rPr>
          <w:rFonts w:eastAsia="Calibri"/>
          <w:sz w:val="28"/>
          <w:szCs w:val="28"/>
          <w:lang w:eastAsia="en-US"/>
        </w:rPr>
        <w:t xml:space="preserve"> </w:t>
      </w:r>
      <w:r>
        <w:rPr>
          <w:rFonts w:eastAsia="Calibri" w:cs="Calibri"/>
          <w:b w:val="false"/>
          <w:bCs w:val="false"/>
          <w:sz w:val="28"/>
          <w:szCs w:val="28"/>
          <w:lang w:eastAsia="ar-SA"/>
        </w:rPr>
        <w:t>В проверяемом периоде Заказчиком были осуществлены следующие закупки:</w:t>
      </w:r>
    </w:p>
    <w:p>
      <w:pPr>
        <w:pStyle w:val="Normal"/>
        <w:widowControl/>
        <w:suppressAutoHyphens w:val="true"/>
        <w:overflowPunct w:val="true"/>
        <w:bidi w:val="0"/>
        <w:spacing w:lineRule="auto" w:line="240" w:before="0" w:after="0"/>
        <w:ind w:left="0" w:right="0" w:firstLine="680"/>
        <w:jc w:val="both"/>
        <w:rPr/>
      </w:pPr>
      <w:r>
        <w:rPr>
          <w:rFonts w:cs="Calibri"/>
          <w:sz w:val="28"/>
          <w:szCs w:val="28"/>
          <w:u w:val="none"/>
          <w:lang w:eastAsia="ar-SA"/>
        </w:rPr>
        <w:t xml:space="preserve">в 2022 </w:t>
      </w:r>
      <w:r>
        <w:rPr>
          <w:rFonts w:eastAsia="Calibri" w:cs="Calibri"/>
          <w:sz w:val="28"/>
          <w:szCs w:val="28"/>
          <w:u w:val="none"/>
          <w:lang w:eastAsia="ar-SA"/>
        </w:rPr>
        <w:t xml:space="preserve">году все закупки </w:t>
      </w:r>
      <w:r>
        <w:rPr>
          <w:rFonts w:eastAsia="Calibri" w:cs="Calibri"/>
          <w:sz w:val="28"/>
          <w:szCs w:val="28"/>
          <w:u w:val="none"/>
          <w:lang w:val="ru-RU" w:eastAsia="ar-SA"/>
        </w:rPr>
        <w:t>осуществлялись у</w:t>
      </w:r>
      <w:r>
        <w:rPr>
          <w:rFonts w:eastAsia="Calibri" w:cs="Calibri"/>
          <w:sz w:val="28"/>
          <w:szCs w:val="28"/>
          <w:u w:val="none"/>
          <w:lang w:eastAsia="ar-SA"/>
        </w:rPr>
        <w:t xml:space="preserve"> единственного поставщика в соответствии с пункт</w:t>
      </w:r>
      <w:r>
        <w:rPr>
          <w:rFonts w:eastAsia="Calibri" w:cs="Calibri"/>
          <w:color w:val="000000"/>
          <w:kern w:val="0"/>
          <w:sz w:val="28"/>
          <w:szCs w:val="28"/>
          <w:u w:val="none"/>
          <w:lang w:val="ru-RU" w:eastAsia="ar-SA" w:bidi="ar-SA"/>
        </w:rPr>
        <w:t>а</w:t>
      </w:r>
      <w:r>
        <w:rPr>
          <w:rFonts w:eastAsia="Calibri" w:cs="Calibri"/>
          <w:sz w:val="28"/>
          <w:szCs w:val="28"/>
          <w:u w:val="none"/>
          <w:lang w:eastAsia="ar-SA"/>
        </w:rPr>
        <w:t>ми 4, 5 части 1 статьи 93 Закона № 44-ФЗ</w:t>
      </w:r>
      <w:r>
        <w:rPr>
          <w:rFonts w:eastAsia="Calibri" w:cs="Calibri"/>
          <w:b w:val="false"/>
          <w:bCs w:val="false"/>
          <w:sz w:val="28"/>
          <w:szCs w:val="28"/>
          <w:u w:val="none"/>
          <w:lang w:eastAsia="ar-SA"/>
        </w:rPr>
        <w:t>;</w:t>
      </w:r>
    </w:p>
    <w:p>
      <w:pPr>
        <w:pStyle w:val="Normal"/>
        <w:widowControl/>
        <w:suppressAutoHyphens w:val="true"/>
        <w:overflowPunct w:val="true"/>
        <w:bidi w:val="0"/>
        <w:spacing w:lineRule="auto" w:line="240" w:before="0" w:after="0"/>
        <w:ind w:left="0" w:right="0" w:firstLine="680"/>
        <w:jc w:val="both"/>
        <w:rPr/>
      </w:pPr>
      <w:r>
        <w:rPr>
          <w:rFonts w:cs="Calibri"/>
          <w:sz w:val="28"/>
          <w:szCs w:val="28"/>
          <w:u w:val="none"/>
          <w:lang w:eastAsia="ar-SA"/>
        </w:rPr>
        <w:t xml:space="preserve">в 2023 году </w:t>
      </w:r>
      <w:r>
        <w:rPr>
          <w:rFonts w:eastAsia="Calibri" w:cs="Calibri"/>
          <w:sz w:val="28"/>
          <w:szCs w:val="28"/>
          <w:u w:val="none"/>
          <w:lang w:eastAsia="ar-SA"/>
        </w:rPr>
        <w:t xml:space="preserve">все закупки </w:t>
      </w:r>
      <w:r>
        <w:rPr>
          <w:rFonts w:eastAsia="Calibri" w:cs="Calibri"/>
          <w:sz w:val="28"/>
          <w:szCs w:val="28"/>
          <w:u w:val="none"/>
          <w:lang w:val="ru-RU" w:eastAsia="ar-SA"/>
        </w:rPr>
        <w:t xml:space="preserve">осуществлялись </w:t>
      </w:r>
      <w:r>
        <w:rPr>
          <w:rFonts w:eastAsia="Calibri" w:cs="Calibri"/>
          <w:sz w:val="28"/>
          <w:szCs w:val="28"/>
          <w:u w:val="none"/>
          <w:lang w:eastAsia="ar-SA"/>
        </w:rPr>
        <w:t xml:space="preserve"> у единственного поставщика в соответствии с пункт</w:t>
      </w:r>
      <w:r>
        <w:rPr>
          <w:rFonts w:eastAsia="Calibri" w:cs="Calibri"/>
          <w:color w:val="000000"/>
          <w:kern w:val="0"/>
          <w:sz w:val="28"/>
          <w:szCs w:val="28"/>
          <w:u w:val="none"/>
          <w:lang w:val="ru-RU" w:eastAsia="ar-SA" w:bidi="ar-SA"/>
        </w:rPr>
        <w:t>а</w:t>
      </w:r>
      <w:r>
        <w:rPr>
          <w:rFonts w:eastAsia="Calibri" w:cs="Calibri"/>
          <w:sz w:val="28"/>
          <w:szCs w:val="28"/>
          <w:u w:val="none"/>
          <w:lang w:eastAsia="ar-SA"/>
        </w:rPr>
        <w:t>ми 4, 5 части 1 статьи 93 Закона № 44-ФЗ</w:t>
      </w:r>
      <w:r>
        <w:rPr>
          <w:rFonts w:eastAsia="Calibri" w:cs="Calibri"/>
          <w:b w:val="false"/>
          <w:bCs w:val="false"/>
          <w:sz w:val="28"/>
          <w:szCs w:val="28"/>
          <w:u w:val="none"/>
          <w:lang w:eastAsia="ar-SA"/>
        </w:rPr>
        <w:t>;</w:t>
      </w:r>
    </w:p>
    <w:p>
      <w:pPr>
        <w:pStyle w:val="Normal"/>
        <w:widowControl/>
        <w:suppressAutoHyphens w:val="true"/>
        <w:bidi w:val="0"/>
        <w:spacing w:lineRule="auto" w:line="240" w:before="0" w:after="0"/>
        <w:ind w:left="0" w:right="0" w:firstLine="680"/>
        <w:jc w:val="both"/>
        <w:rPr/>
      </w:pPr>
      <w:r>
        <w:rPr>
          <w:rFonts w:eastAsia="Calibri" w:cs="Calibri"/>
          <w:sz w:val="28"/>
          <w:szCs w:val="28"/>
          <w:u w:val="none"/>
          <w:lang w:eastAsia="ar-SA"/>
        </w:rPr>
        <w:t>в 2024 году, кроме закупок, осуществленных у единственного поставщика в соответствии с пункт</w:t>
      </w:r>
      <w:r>
        <w:rPr>
          <w:rFonts w:eastAsia="Calibri" w:cs="Calibri"/>
          <w:color w:val="000000"/>
          <w:kern w:val="0"/>
          <w:sz w:val="28"/>
          <w:szCs w:val="28"/>
          <w:u w:val="none"/>
          <w:lang w:val="ru-RU" w:eastAsia="ar-SA" w:bidi="ar-SA"/>
        </w:rPr>
        <w:t>а</w:t>
      </w:r>
      <w:r>
        <w:rPr>
          <w:rFonts w:eastAsia="Calibri" w:cs="Calibri"/>
          <w:sz w:val="28"/>
          <w:szCs w:val="28"/>
          <w:u w:val="none"/>
          <w:lang w:eastAsia="ar-SA"/>
        </w:rPr>
        <w:t xml:space="preserve">ми 4, 5 части 1 статьи 93 Закона № 44-ФЗ, были </w:t>
      </w:r>
      <w:r>
        <w:rPr>
          <w:rFonts w:eastAsia="Calibri" w:cs="Calibri"/>
          <w:b w:val="false"/>
          <w:bCs w:val="false"/>
          <w:sz w:val="28"/>
          <w:szCs w:val="28"/>
          <w:u w:val="none"/>
          <w:lang w:eastAsia="ar-SA"/>
        </w:rPr>
        <w:t xml:space="preserve">заключены </w:t>
      </w:r>
      <w:r>
        <w:rPr>
          <w:rFonts w:eastAsia="Calibri" w:cs="Calibri"/>
          <w:b w:val="false"/>
          <w:bCs w:val="false"/>
          <w:color w:val="000000"/>
          <w:kern w:val="0"/>
          <w:sz w:val="28"/>
          <w:szCs w:val="28"/>
          <w:u w:val="none"/>
          <w:lang w:val="ru-RU" w:eastAsia="ar-SA" w:bidi="ar-SA"/>
        </w:rPr>
        <w:t>2</w:t>
      </w:r>
      <w:r>
        <w:rPr>
          <w:rFonts w:eastAsia="Calibri" w:cs="Calibri"/>
          <w:b w:val="false"/>
          <w:bCs w:val="false"/>
          <w:sz w:val="28"/>
          <w:szCs w:val="28"/>
          <w:u w:val="none"/>
          <w:lang w:eastAsia="ar-SA"/>
        </w:rPr>
        <w:t xml:space="preserve"> контракта</w:t>
      </w:r>
      <w:r>
        <w:rPr>
          <w:rFonts w:eastAsia="Calibri" w:cs="Calibri"/>
          <w:b w:val="false"/>
          <w:bCs w:val="false"/>
          <w:sz w:val="28"/>
          <w:szCs w:val="28"/>
          <w:lang w:eastAsia="ar-SA"/>
        </w:rPr>
        <w:t xml:space="preserve"> путем проведения аукциона в электронной форме на общую сумму 3 869 939,10</w:t>
      </w:r>
      <w:r>
        <w:rPr>
          <w:rFonts w:eastAsia="Calibri" w:cs="Calibri"/>
          <w:b w:val="false"/>
          <w:bCs w:val="false"/>
          <w:color w:val="000000"/>
          <w:kern w:val="0"/>
          <w:sz w:val="28"/>
          <w:szCs w:val="28"/>
          <w:lang w:val="ru-RU" w:eastAsia="ar-SA" w:bidi="ar-SA"/>
        </w:rPr>
        <w:t xml:space="preserve"> </w:t>
      </w:r>
      <w:r>
        <w:rPr>
          <w:rFonts w:eastAsia="Calibri" w:cs="Calibri"/>
          <w:b w:val="false"/>
          <w:bCs w:val="false"/>
          <w:sz w:val="28"/>
          <w:szCs w:val="28"/>
          <w:lang w:eastAsia="ar-SA"/>
        </w:rPr>
        <w:t>рубля;</w:t>
      </w:r>
    </w:p>
    <w:p>
      <w:pPr>
        <w:pStyle w:val="Normal"/>
        <w:widowControl/>
        <w:suppressAutoHyphens w:val="true"/>
        <w:bidi w:val="0"/>
        <w:spacing w:lineRule="auto" w:line="240" w:before="0" w:after="0"/>
        <w:ind w:left="0" w:right="0" w:firstLine="680"/>
        <w:jc w:val="both"/>
        <w:rPr/>
      </w:pPr>
      <w:r>
        <w:rPr>
          <w:rFonts w:eastAsia="Calibri" w:cs="Calibri"/>
          <w:b w:val="false"/>
          <w:bCs w:val="false"/>
          <w:sz w:val="28"/>
          <w:szCs w:val="28"/>
          <w:lang w:eastAsia="ar-SA"/>
        </w:rPr>
        <w:t xml:space="preserve">в </w:t>
      </w:r>
      <w:r>
        <w:rPr>
          <w:rFonts w:eastAsia="Calibri" w:cs="Calibri"/>
          <w:b w:val="false"/>
          <w:bCs w:val="false"/>
          <w:sz w:val="28"/>
          <w:szCs w:val="28"/>
          <w:u w:val="none"/>
          <w:lang w:eastAsia="ar-SA"/>
        </w:rPr>
        <w:t>2025 году (на дату проверки), кроме закупок, осуществленных у единственного поставщика в соответствии с пункт</w:t>
      </w:r>
      <w:r>
        <w:rPr>
          <w:rFonts w:eastAsia="Calibri" w:cs="Calibri"/>
          <w:b w:val="false"/>
          <w:bCs w:val="false"/>
          <w:color w:val="000000"/>
          <w:kern w:val="0"/>
          <w:sz w:val="28"/>
          <w:szCs w:val="28"/>
          <w:u w:val="none"/>
          <w:lang w:val="ru-RU" w:eastAsia="ar-SA" w:bidi="ar-SA"/>
        </w:rPr>
        <w:t>а</w:t>
      </w:r>
      <w:r>
        <w:rPr>
          <w:rFonts w:eastAsia="Calibri" w:cs="Calibri"/>
          <w:b w:val="false"/>
          <w:bCs w:val="false"/>
          <w:sz w:val="28"/>
          <w:szCs w:val="28"/>
          <w:u w:val="none"/>
          <w:lang w:eastAsia="ar-SA"/>
        </w:rPr>
        <w:t xml:space="preserve">ми 4, 5 части 1 статьи 93 Закона № 44-ФЗ, был заключен </w:t>
      </w:r>
      <w:r>
        <w:rPr>
          <w:rFonts w:eastAsia="Calibri" w:cs="Calibri"/>
          <w:b w:val="false"/>
          <w:bCs w:val="false"/>
          <w:color w:val="000000"/>
          <w:kern w:val="0"/>
          <w:sz w:val="28"/>
          <w:szCs w:val="28"/>
          <w:u w:val="none"/>
          <w:lang w:val="ru-RU" w:eastAsia="ar-SA" w:bidi="ar-SA"/>
        </w:rPr>
        <w:t>1</w:t>
      </w:r>
      <w:r>
        <w:rPr>
          <w:rFonts w:eastAsia="Calibri" w:cs="Calibri"/>
          <w:b w:val="false"/>
          <w:bCs w:val="false"/>
          <w:sz w:val="28"/>
          <w:szCs w:val="28"/>
          <w:u w:val="none"/>
          <w:lang w:eastAsia="ar-SA"/>
        </w:rPr>
        <w:t xml:space="preserve"> контракт </w:t>
      </w:r>
      <w:r>
        <w:rPr>
          <w:rFonts w:eastAsia="Calibri" w:cs="Calibri"/>
          <w:b w:val="false"/>
          <w:bCs w:val="false"/>
          <w:sz w:val="28"/>
          <w:szCs w:val="28"/>
          <w:lang w:eastAsia="ar-SA"/>
        </w:rPr>
        <w:t>путем проведения аукциона в электронной форме на сумму 747 168,00</w:t>
      </w:r>
      <w:r>
        <w:rPr>
          <w:rFonts w:eastAsia="Calibri" w:cs="Calibri"/>
          <w:b w:val="false"/>
          <w:bCs w:val="false"/>
          <w:color w:val="000000"/>
          <w:kern w:val="0"/>
          <w:sz w:val="28"/>
          <w:szCs w:val="28"/>
          <w:lang w:val="ru-RU" w:eastAsia="ar-SA" w:bidi="ar-SA"/>
        </w:rPr>
        <w:t xml:space="preserve"> </w:t>
      </w:r>
      <w:r>
        <w:rPr>
          <w:rFonts w:eastAsia="Calibri" w:cs="Calibri"/>
          <w:b w:val="false"/>
          <w:bCs w:val="false"/>
          <w:sz w:val="28"/>
          <w:szCs w:val="28"/>
          <w:lang w:eastAsia="ar-SA"/>
        </w:rPr>
        <w:t>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По представленным Заказчиком реестрам контрактов, заключенных на основании пункта 4 части 1 статьи 93 Закона № 44-ФЗ, оплата которых осуществлялась в 2022, 2023, 2024, 2025 годах установлено следующее:</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в 2022, 2023, 2025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в 2024 году такие ограничения превышены.</w:t>
      </w:r>
    </w:p>
    <w:p>
      <w:pPr>
        <w:pStyle w:val="Normal"/>
        <w:widowControl/>
        <w:suppressAutoHyphens w:val="true"/>
        <w:bidi w:val="0"/>
        <w:spacing w:lineRule="auto" w:line="240" w:before="0" w:after="0"/>
        <w:ind w:left="0" w:right="0" w:firstLine="680"/>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На основании пункта 16 части 1 статьи 3 Закона № 44-ФЗ совокупный годовой объем закупок (далее – СГОЗ) – это утвержденный на соответствующий финансовый год общий объем финансового обеспечения для осуществления заказчиком закупок в соответствии с указанным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СГОЗ в 2024 году согласно ПФХД на 2024 финансовый год, утвержденный директором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en-US"/>
        </w:rPr>
        <w:t>МБУК «МРДК «Кубань»</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от 28 декабря 2024 года, составил 9 589 042,25 рубля (Приложение № 2).</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Расчет размера десяти процентов СГОЗ учреждения составил                                          в сумме</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en-US" w:eastAsia="ar-SA"/>
        </w:rPr>
        <w:t xml:space="preserve"> 958 904,</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22</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en-US" w:eastAsia="ar-SA"/>
        </w:rPr>
        <w:t xml:space="preserve">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рубля (9 589 042,25*10/100).</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С учетом установленных законодателем ограничений в отношении годового объема закупок в соответствии с пунктом 4 части 1 статьи 93 Закона №  44-ФЗ в виде альтернативы между десятью процентами совокупного годового объема закупок и двумя миллионами рублей, предельный объем закупок на основании вышеназванной статьи  Закона № 44-ФЗ для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en-US"/>
        </w:rPr>
        <w:t>МБУК «МРДК «Кубань»</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в 2024 году применяется показатель в два миллиона рублей.</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Фактически объем закупок по пункту 4 части 1 статьи 93 Закона № 44-ФЗ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en-US"/>
        </w:rPr>
        <w:t>МБУК «МРДК «Кубань»</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составил 3 072 497,35 рубля. Сумма превышения установленных ограничений составляет 1 072 497,35 рубля                                            (3 072 497,35-2 000 000,00).</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Необходимо отметить, что согласно пункту 3 статьи 3 Закона № 44-ФЗ под закупкой товара, работы, услуги для обеспечения государственных или муниципальных нужд понимается совокупность действий, осуществляемых в установленном Законом № 44-ФЗ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Таким образом, момент завершения закупки законодатель напрямую связывает с исполнением сторонами контракта всех, предусмотренных таким контрактом обязательств.</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Следовательно, рассчитывая фактический объем закупок, осуществленных заказчиком на основании пункта 4 части 1 статьи 93                  Закона № 44-ФЗ необходимо руководствоваться объемом денежных средств, которые были фактически затрачены заказчиком в соответствующем финансовом году для оплаты исполненных обязательств по контрактам, заключенным с единственным поставщиком по названному основанию. При этом, в таком расчете не учитывается стоимость исполненных (неисполненных) обязательств, предусмотренных такими контрактами, оплата которых в соответствующем финансовом году не производилась.</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Анализ реестра заключенных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en-US"/>
        </w:rPr>
        <w:t>МБУК «МРДК «Кубань»</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контрактов показал, что по состоянию на 31 декабря 2024 года Заказчик заключил                    72 контракта в соответствии с пунктом 4 части 1 статьи 93 Закона № 44-ФЗ, сумма фактического исполнения которых в 2024 году                                         составила 3 072 497,35 рубля (Приложение № 3).</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В 2024 году за период с 1 января 2024 года по 28 июня 2024 года было заключено 44 контракта в соответствии с пунктом 4 части 1 статьи 93                    Закона № 44-ФЗ, сумма фактического исполнения которых в 2024 году                          составила 1 931 619,35 рубля.</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Остальные 28 заключенных Заказчиком контрактов                                                       на сумму 1 140 878,00 рубля повлекли превышение ограничений, установленных пунктом 4 части 1 статьи 93 Закона № 44-ФЗ, годового объема закупок.</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Таким образом, Заказчиком в нарушение требований пункта 4 части 1 статьи 93 Закона № 44-ФЗ был неверно выбран способ определения поставщика (подрядчика, исполнителя).</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В указанном нарушении усматриваются признаки административного правонарушения, ответственность за которое предусмотрена                                              частью 1 статьи 7.29 КоАП РФ.</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2022, 2023, 2024, 2025 годах,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w:t>
      </w:r>
      <w:r>
        <w:rPr>
          <w:rFonts w:eastAsia="Calibri"/>
          <w:sz w:val="28"/>
          <w:szCs w:val="28"/>
          <w:lang w:val="ru-RU" w:eastAsia="en-US"/>
        </w:rPr>
        <w:t xml:space="preserve">я </w:t>
      </w:r>
      <w:r>
        <w:rPr>
          <w:rFonts w:eastAsia="Calibri"/>
          <w:sz w:val="28"/>
          <w:szCs w:val="28"/>
          <w:lang w:eastAsia="en-US"/>
        </w:rPr>
        <w:t>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000000"/>
          <w:kern w:val="0"/>
          <w:sz w:val="28"/>
          <w:szCs w:val="28"/>
          <w:lang w:val="ru-RU" w:eastAsia="en-US" w:bidi="ar-SA"/>
        </w:rPr>
        <w:t>направлялись</w:t>
      </w:r>
      <w:r>
        <w:rPr>
          <w:rFonts w:eastAsia="Calibri"/>
          <w:sz w:val="28"/>
          <w:szCs w:val="28"/>
          <w:lang w:eastAsia="en-US"/>
        </w:rPr>
        <w:t>.</w:t>
      </w:r>
    </w:p>
    <w:p>
      <w:pPr>
        <w:pStyle w:val="Normal"/>
        <w:widowControl/>
        <w:suppressAutoHyphens w:val="true"/>
        <w:bidi w:val="0"/>
        <w:spacing w:lineRule="auto" w:line="240" w:before="0" w:after="0"/>
        <w:ind w:left="0" w:right="0" w:firstLine="680"/>
        <w:jc w:val="both"/>
        <w:rPr/>
      </w:pPr>
      <w:r>
        <w:rPr>
          <w:rFonts w:cs="Calibri"/>
          <w:sz w:val="28"/>
          <w:szCs w:val="28"/>
          <w:lang w:eastAsia="ar-SA"/>
        </w:rPr>
        <w:t>Извещения о проведении открытых аукционов и конкурсов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pPr>
      <w:r>
        <w:rPr>
          <w:rFonts w:eastAsia="Calibri"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eastAsia="ar-SA"/>
        </w:rPr>
        <w:t xml:space="preserve">3. </w:t>
      </w:r>
      <w:r>
        <w:rPr>
          <w:b w:val="false"/>
          <w:bCs w:val="false"/>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overflowPunct w:val="true"/>
        <w:bidi w:val="0"/>
        <w:spacing w:lineRule="auto" w:line="240" w:before="0" w:after="0"/>
        <w:ind w:left="0" w:right="0" w:firstLine="680"/>
        <w:jc w:val="both"/>
        <w:rPr>
          <w:rFonts w:eastAsia="Calibri" w:cs="Times New Roman"/>
          <w:bCs/>
          <w:color w:val="000000"/>
          <w:kern w:val="0"/>
          <w:sz w:val="28"/>
          <w:szCs w:val="28"/>
          <w:lang w:val="ru-RU" w:eastAsia="en-US" w:bidi="ar-SA"/>
        </w:rPr>
      </w:pPr>
      <w:r>
        <w:rPr>
          <w:bCs/>
          <w:color w:val="000000"/>
          <w:sz w:val="28"/>
          <w:szCs w:val="28"/>
        </w:rPr>
        <w:t>Согласно информации из реестра отчетов заказчиков, размещенных в ЕИС, Отчет Заказчика об объеме закупок у СМП и СОНКО за 2021 год размещен в ЕИС 17</w:t>
      </w:r>
      <w:r>
        <w:rPr>
          <w:rFonts w:eastAsia="Times New Roman" w:cs="Times New Roman"/>
          <w:bCs/>
          <w:color w:val="000000"/>
          <w:kern w:val="0"/>
          <w:sz w:val="28"/>
          <w:szCs w:val="28"/>
          <w:lang w:val="ru-RU" w:eastAsia="ru-RU" w:bidi="ar-SA"/>
        </w:rPr>
        <w:t>.03.</w:t>
      </w:r>
      <w:r>
        <w:rPr>
          <w:bCs/>
          <w:color w:val="000000"/>
          <w:sz w:val="28"/>
          <w:szCs w:val="28"/>
        </w:rPr>
        <w:t>2022 года, за 202</w:t>
      </w:r>
      <w:r>
        <w:rPr>
          <w:rFonts w:eastAsia="Times New Roman" w:cs="Times New Roman"/>
          <w:bCs/>
          <w:color w:val="000000"/>
          <w:sz w:val="28"/>
          <w:szCs w:val="28"/>
          <w:lang w:eastAsia="ru-RU"/>
        </w:rPr>
        <w:t>2</w:t>
      </w:r>
      <w:r>
        <w:rPr>
          <w:bCs/>
          <w:color w:val="000000"/>
          <w:sz w:val="28"/>
          <w:szCs w:val="28"/>
        </w:rPr>
        <w:t xml:space="preserve"> год – </w:t>
      </w:r>
      <w:r>
        <w:rPr>
          <w:rFonts w:eastAsia="Times New Roman" w:cs="Times New Roman"/>
          <w:bCs/>
          <w:color w:val="000000"/>
          <w:kern w:val="0"/>
          <w:sz w:val="28"/>
          <w:szCs w:val="28"/>
          <w:lang w:val="ru-RU" w:eastAsia="ru-RU" w:bidi="ar-SA"/>
        </w:rPr>
        <w:t>28.03.</w:t>
      </w:r>
      <w:r>
        <w:rPr>
          <w:bCs/>
          <w:color w:val="000000"/>
          <w:sz w:val="28"/>
          <w:szCs w:val="28"/>
        </w:rPr>
        <w:t>2023 года,                                 т.е. своевременно.</w:t>
      </w:r>
    </w:p>
    <w:p>
      <w:pPr>
        <w:pStyle w:val="Normal"/>
        <w:widowControl/>
        <w:suppressAutoHyphens w:val="true"/>
        <w:overflowPunct w:val="true"/>
        <w:bidi w:val="0"/>
        <w:spacing w:lineRule="auto" w:line="240" w:before="0" w:after="0"/>
        <w:ind w:left="0" w:right="0" w:firstLine="680"/>
        <w:jc w:val="both"/>
        <w:rPr/>
      </w:pPr>
      <w:r>
        <w:rPr>
          <w:bCs/>
          <w:color w:val="000000"/>
          <w:sz w:val="28"/>
          <w:szCs w:val="28"/>
        </w:rPr>
        <w:t xml:space="preserve">Отчет Заказчика об объеме закупок у СМП и СОНКО за 2023 год </w:t>
      </w:r>
      <w:r>
        <w:rPr>
          <w:rFonts w:eastAsia="Times New Roman" w:cs="Times New Roman"/>
          <w:bCs/>
          <w:color w:val="000000"/>
          <w:kern w:val="0"/>
          <w:sz w:val="28"/>
          <w:szCs w:val="28"/>
          <w:lang w:val="ru-RU" w:eastAsia="en-US" w:bidi="ar-SA"/>
        </w:rPr>
        <w:t xml:space="preserve"> </w:t>
      </w:r>
      <w:r>
        <w:rPr>
          <w:bCs/>
          <w:color w:val="000000"/>
          <w:sz w:val="28"/>
          <w:szCs w:val="28"/>
        </w:rPr>
        <w:t xml:space="preserve">размещен 24 июня 2024 года, т.е. с нарушением срока </w:t>
      </w:r>
      <w:r>
        <w:rPr>
          <w:bCs/>
          <w:color w:val="000000"/>
          <w:sz w:val="28"/>
          <w:szCs w:val="28"/>
          <w:lang w:val="ru-RU"/>
        </w:rPr>
        <w:t>и с отражением в нем недостоверной информации</w:t>
      </w:r>
      <w:r>
        <w:rPr>
          <w:bCs/>
          <w:color w:val="000000"/>
          <w:sz w:val="28"/>
          <w:szCs w:val="28"/>
        </w:rPr>
        <w:t>.</w:t>
      </w:r>
    </w:p>
    <w:p>
      <w:pPr>
        <w:pStyle w:val="Normal"/>
        <w:widowControl/>
        <w:suppressAutoHyphens w:val="true"/>
        <w:overflowPunct w:val="true"/>
        <w:bidi w:val="0"/>
        <w:spacing w:lineRule="auto" w:line="240" w:before="0" w:after="0"/>
        <w:ind w:left="0" w:right="0" w:hanging="0"/>
        <w:jc w:val="both"/>
        <w:rPr>
          <w:bCs/>
          <w:sz w:val="28"/>
          <w:szCs w:val="28"/>
        </w:rPr>
      </w:pPr>
      <w:r>
        <w:rPr>
          <w:bCs/>
          <w:color w:val="000000"/>
          <w:sz w:val="28"/>
          <w:szCs w:val="28"/>
        </w:rPr>
        <w:t xml:space="preserve">    </w:t>
      </w:r>
      <w:r>
        <w:rPr>
          <w:bCs/>
          <w:color w:val="000000"/>
          <w:sz w:val="28"/>
          <w:szCs w:val="28"/>
        </w:rPr>
        <w:t xml:space="preserve">В указанных нарушениях усматриваются признаки административного правонарушения, </w:t>
      </w:r>
      <w:r>
        <w:rPr>
          <w:bCs/>
          <w:color w:val="000000"/>
          <w:sz w:val="28"/>
          <w:szCs w:val="28"/>
          <w:highlight w:val="white"/>
        </w:rPr>
        <w:t>ответственность за которое предусмотрена частью</w:t>
      </w:r>
      <w:r>
        <w:rPr>
          <w:bCs/>
          <w:color w:val="000000"/>
          <w:sz w:val="28"/>
          <w:szCs w:val="28"/>
        </w:rPr>
        <w:t xml:space="preserve"> 1.4 статьи          7.30 КоАП РФ.</w:t>
      </w:r>
    </w:p>
    <w:p>
      <w:pPr>
        <w:pStyle w:val="Normal"/>
        <w:ind w:firstLine="567"/>
        <w:jc w:val="both"/>
        <w:rPr>
          <w:bCs/>
          <w:sz w:val="28"/>
          <w:szCs w:val="28"/>
        </w:rPr>
      </w:pPr>
      <w:r>
        <w:rPr>
          <w:bCs/>
          <w:sz w:val="28"/>
          <w:szCs w:val="28"/>
        </w:rPr>
        <w:t xml:space="preserve"> </w:t>
      </w:r>
      <w:r>
        <w:rPr>
          <w:bCs/>
          <w:sz w:val="28"/>
          <w:szCs w:val="28"/>
        </w:rPr>
        <w:t>В ходе проверки установлено, что указанные нарушения были выявлены Краснодарским УФАС России в 2024 году. В результате чего постановлением Краснодарского УФАС России от 04.12.2024 № 023/04/7.30-5892/2024 года было вынесено административное наказание в виде предупреждения на виновное должностное лицо (прилагается).</w:t>
      </w:r>
    </w:p>
    <w:p>
      <w:pPr>
        <w:pStyle w:val="Normal"/>
        <w:widowControl/>
        <w:suppressAutoHyphens w:val="true"/>
        <w:overflowPunct w:val="true"/>
        <w:bidi w:val="0"/>
        <w:spacing w:lineRule="auto" w:line="240" w:before="0" w:after="0"/>
        <w:ind w:firstLine="567"/>
        <w:jc w:val="both"/>
        <w:rPr>
          <w:sz w:val="28"/>
          <w:szCs w:val="28"/>
        </w:rPr>
      </w:pPr>
      <w:r>
        <w:rPr>
          <w:rFonts w:eastAsia="Calibri" w:cs="Times New Roman"/>
          <w:bCs/>
          <w:color w:val="000000"/>
          <w:kern w:val="0"/>
          <w:sz w:val="28"/>
          <w:szCs w:val="28"/>
          <w:lang w:val="ru-RU" w:eastAsia="en-US" w:bidi="ar-SA"/>
        </w:rPr>
        <w:t>Согласно части 5 статьи 4.1 КоАП РФ никто не может нести административную ответственность дважды за одно и то же административное правонарушение.</w:t>
      </w:r>
    </w:p>
    <w:p>
      <w:pPr>
        <w:pStyle w:val="Normal"/>
        <w:widowControl/>
        <w:suppressAutoHyphens w:val="true"/>
        <w:overflowPunct w:val="true"/>
        <w:bidi w:val="0"/>
        <w:spacing w:lineRule="auto" w:line="240" w:before="0" w:after="0"/>
        <w:ind w:left="0" w:right="0" w:firstLine="567"/>
        <w:jc w:val="both"/>
        <w:rPr>
          <w:bCs/>
          <w:sz w:val="28"/>
          <w:szCs w:val="28"/>
        </w:rPr>
      </w:pPr>
      <w:r>
        <w:rPr>
          <w:bCs/>
          <w:sz w:val="28"/>
          <w:szCs w:val="28"/>
        </w:rPr>
        <w:t>В соответствии с частью 3 статьи 7 Закона № 44-ФЗ информация, предусмотренная указанным законом и размещенная в ЕИС, должна быть полной и достоверной.</w:t>
      </w:r>
    </w:p>
    <w:p>
      <w:pPr>
        <w:pStyle w:val="Normal"/>
        <w:widowControl/>
        <w:suppressAutoHyphens w:val="true"/>
        <w:overflowPunct w:val="true"/>
        <w:bidi w:val="0"/>
        <w:spacing w:lineRule="auto" w:line="240" w:before="0" w:after="0"/>
        <w:ind w:left="0" w:right="0" w:firstLine="567"/>
        <w:jc w:val="both"/>
        <w:rPr>
          <w:bCs/>
          <w:sz w:val="28"/>
          <w:szCs w:val="28"/>
        </w:rPr>
      </w:pPr>
      <w:r>
        <w:rPr>
          <w:bCs/>
          <w:sz w:val="28"/>
          <w:szCs w:val="28"/>
        </w:rPr>
        <w:t>В соответствии с частью 4.1 статьи 30 Закона № 44-ФЗ порядок подготовки Отчета об объеме закупок у СМП и СОНКО, его размещения в ЕИС, форма указанного отчета определяются Правительством Российской Федерации.</w:t>
      </w:r>
    </w:p>
    <w:p>
      <w:pPr>
        <w:pStyle w:val="Normal"/>
        <w:widowControl/>
        <w:suppressAutoHyphens w:val="true"/>
        <w:overflowPunct w:val="true"/>
        <w:bidi w:val="0"/>
        <w:spacing w:lineRule="auto" w:line="240" w:before="0" w:after="0"/>
        <w:ind w:left="0" w:right="0" w:firstLine="567"/>
        <w:jc w:val="both"/>
        <w:rPr/>
      </w:pPr>
      <w:r>
        <w:rPr>
          <w:bCs/>
          <w:sz w:val="28"/>
          <w:szCs w:val="28"/>
        </w:rPr>
        <w:t>В соответствии с пунктом 3 Правил подготовки Отчета об объеме закупок у СМП и СОНКО, его размещения в ЕИС, утвержденных постановлением Правительства РФ от 17.03.2015 № 238 (далее - Правила, Постановление          № 238), подготовка отчета и его составление осуществляются по форме, утвержденной  Постановлением № 238, и в соответствии с требованиями к заполнению формы, являющимися приложением к выше указанным Правилам (далее-Требования).</w:t>
      </w:r>
    </w:p>
    <w:p>
      <w:pPr>
        <w:pStyle w:val="Normal"/>
        <w:widowControl/>
        <w:suppressAutoHyphens w:val="true"/>
        <w:overflowPunct w:val="true"/>
        <w:bidi w:val="0"/>
        <w:spacing w:lineRule="auto" w:line="240" w:before="0" w:after="0"/>
        <w:ind w:left="0" w:right="0" w:firstLine="567"/>
        <w:jc w:val="both"/>
        <w:rPr/>
      </w:pPr>
      <w:r>
        <w:rPr>
          <w:bCs/>
          <w:sz w:val="28"/>
          <w:szCs w:val="28"/>
        </w:rPr>
        <w:t>Согласно подпункту «а» пункта 2 Требований к заполнению формы Отчета об объеме закупок у СМП и СОНКО, в  позиции 1 раздела II, указывается совокупный годовой объем закупок заказчика за отчетный год, определенный в соответствии с пунктом 16 статьи 3 Закона № 44-ФЗ, за исключением объема закупок, сведения о которых составляют государственную тайну (тыс. рублей).</w:t>
      </w:r>
    </w:p>
    <w:p>
      <w:pPr>
        <w:pStyle w:val="Normal"/>
        <w:widowControl/>
        <w:suppressAutoHyphens w:val="true"/>
        <w:overflowPunct w:val="true"/>
        <w:bidi w:val="0"/>
        <w:spacing w:lineRule="auto" w:line="240" w:before="0" w:after="0"/>
        <w:ind w:left="0" w:right="0" w:firstLine="567"/>
        <w:jc w:val="both"/>
        <w:rPr/>
      </w:pPr>
      <w:r>
        <w:rPr>
          <w:bCs/>
          <w:sz w:val="28"/>
          <w:szCs w:val="28"/>
        </w:rPr>
        <w:t xml:space="preserve">В Отчете об объеме закупок у СМП и СОНКО за 2022 год в  позиции                      1 раздела II указана сумме </w:t>
      </w:r>
      <w:r>
        <w:rPr>
          <w:b w:val="false"/>
          <w:bCs/>
          <w:i w:val="false"/>
          <w:caps w:val="false"/>
          <w:smallCaps w:val="false"/>
          <w:color w:val="000000"/>
          <w:spacing w:val="0"/>
          <w:sz w:val="28"/>
          <w:szCs w:val="28"/>
        </w:rPr>
        <w:t>5 144,18000</w:t>
      </w:r>
      <w:r>
        <w:rPr>
          <w:bCs/>
          <w:sz w:val="28"/>
          <w:szCs w:val="28"/>
        </w:rPr>
        <w:t xml:space="preserve">  тыс. рублей.</w:t>
      </w:r>
    </w:p>
    <w:p>
      <w:pPr>
        <w:pStyle w:val="Normal"/>
        <w:widowControl/>
        <w:suppressAutoHyphens w:val="true"/>
        <w:overflowPunct w:val="true"/>
        <w:bidi w:val="0"/>
        <w:spacing w:lineRule="auto" w:line="240" w:before="0" w:after="0"/>
        <w:ind w:left="0" w:right="0" w:firstLine="567"/>
        <w:jc w:val="both"/>
        <w:rPr/>
      </w:pPr>
      <w:r>
        <w:rPr>
          <w:bCs/>
          <w:sz w:val="28"/>
          <w:szCs w:val="28"/>
        </w:rPr>
        <w:t xml:space="preserve">Однако, в  соответствии с </w:t>
      </w:r>
      <w:r>
        <w:rPr>
          <w:rFonts w:eastAsia="Times New Roman" w:cs="Times New Roman"/>
          <w:bCs/>
          <w:color w:val="auto"/>
          <w:kern w:val="0"/>
          <w:sz w:val="28"/>
          <w:szCs w:val="28"/>
          <w:lang w:val="ru-RU" w:eastAsia="ru-RU" w:bidi="ar-SA"/>
        </w:rPr>
        <w:t>ПФХД</w:t>
      </w:r>
      <w:r>
        <w:rPr>
          <w:bCs/>
          <w:sz w:val="28"/>
          <w:szCs w:val="28"/>
        </w:rPr>
        <w:t xml:space="preserve"> учреждения на 2022 финансовый год, утвержденной  Заказчиком  30.12.2022 года, совокупный годовой  объем  закупок  в 2022 году составил </w:t>
      </w:r>
      <w:r>
        <w:rPr>
          <w:b w:val="false"/>
          <w:bCs/>
          <w:i w:val="false"/>
          <w:caps w:val="false"/>
          <w:smallCaps w:val="false"/>
          <w:strike w:val="false"/>
          <w:dstrike w:val="false"/>
          <w:outline w:val="false"/>
          <w:shadow w:val="false"/>
          <w:color w:val="000000"/>
          <w:spacing w:val="0"/>
          <w:sz w:val="28"/>
          <w:szCs w:val="28"/>
          <w:u w:val="none"/>
          <w:em w:val="none"/>
        </w:rPr>
        <w:t>5 145,28186 тыс.</w:t>
      </w:r>
      <w:r>
        <w:rPr>
          <w:bCs/>
          <w:sz w:val="28"/>
          <w:szCs w:val="28"/>
        </w:rPr>
        <w:t xml:space="preserve"> рублей.</w:t>
      </w:r>
    </w:p>
    <w:p>
      <w:pPr>
        <w:pStyle w:val="Normal"/>
        <w:widowControl/>
        <w:suppressAutoHyphens w:val="true"/>
        <w:overflowPunct w:val="true"/>
        <w:bidi w:val="0"/>
        <w:spacing w:lineRule="auto" w:line="240" w:before="0" w:after="0"/>
        <w:ind w:left="0" w:right="0" w:firstLine="567"/>
        <w:jc w:val="both"/>
        <w:rPr/>
      </w:pPr>
      <w:r>
        <w:rPr>
          <w:bCs/>
          <w:sz w:val="28"/>
          <w:szCs w:val="28"/>
        </w:rPr>
        <w:t xml:space="preserve">Согласно подпункту «б» пункта 2 Требований к заполнению формы Отчета об объеме закупок у СМП и СОНКО, в позиции 2 раздела II </w:t>
      </w:r>
      <w:r>
        <w:rPr>
          <w:b w:val="false"/>
          <w:bCs/>
          <w:sz w:val="28"/>
          <w:szCs w:val="28"/>
        </w:rPr>
        <w:t xml:space="preserve">в </w:t>
      </w:r>
      <w:r>
        <w:rPr>
          <w:b w:val="false"/>
          <w:bCs/>
          <w:strike w:val="false"/>
          <w:dstrike w:val="false"/>
          <w:color w:val="000000"/>
          <w:sz w:val="28"/>
          <w:szCs w:val="28"/>
          <w:u w:val="none"/>
          <w:effect w:val="none"/>
        </w:rPr>
        <w:t>абзаце первом</w:t>
      </w:r>
      <w:r>
        <w:rPr>
          <w:b w:val="false"/>
          <w:bCs/>
          <w:sz w:val="28"/>
          <w:szCs w:val="28"/>
        </w:rPr>
        <w:t xml:space="preserve"> </w:t>
      </w:r>
      <w:r>
        <w:rPr>
          <w:bCs/>
          <w:sz w:val="28"/>
          <w:szCs w:val="28"/>
        </w:rPr>
        <w:t xml:space="preserve">указывается общий объем финансового обеспечения для оплаты контрактов в отчетном году в рамках осуществления закупок, </w:t>
      </w:r>
      <w:r>
        <w:rPr>
          <w:b w:val="false"/>
          <w:bCs/>
          <w:sz w:val="28"/>
          <w:szCs w:val="28"/>
        </w:rPr>
        <w:t xml:space="preserve">не подлежащих в соответствии с </w:t>
      </w:r>
      <w:r>
        <w:rPr>
          <w:b w:val="false"/>
          <w:bCs/>
          <w:strike w:val="false"/>
          <w:dstrike w:val="false"/>
          <w:color w:val="000000"/>
          <w:sz w:val="28"/>
          <w:szCs w:val="28"/>
          <w:u w:val="none"/>
          <w:effect w:val="none"/>
        </w:rPr>
        <w:t>Закон</w:t>
      </w:r>
      <w:r>
        <w:rPr>
          <w:rFonts w:eastAsia="Times New Roman" w:cs="Times New Roman"/>
          <w:b w:val="false"/>
          <w:bCs/>
          <w:strike w:val="false"/>
          <w:dstrike w:val="false"/>
          <w:color w:val="000000"/>
          <w:kern w:val="0"/>
          <w:sz w:val="28"/>
          <w:szCs w:val="28"/>
          <w:u w:val="none"/>
          <w:effect w:val="none"/>
          <w:lang w:val="ru-RU" w:eastAsia="ru-RU" w:bidi="ar-SA"/>
        </w:rPr>
        <w:t>ом</w:t>
      </w:r>
      <w:r>
        <w:rPr>
          <w:b w:val="false"/>
          <w:bCs/>
          <w:strike w:val="false"/>
          <w:dstrike w:val="false"/>
          <w:color w:val="000000"/>
          <w:sz w:val="28"/>
          <w:szCs w:val="28"/>
          <w:u w:val="none"/>
          <w:effect w:val="none"/>
        </w:rPr>
        <w:t xml:space="preserve"> № 44-ФЗ</w:t>
      </w:r>
      <w:r>
        <w:rPr>
          <w:b w:val="false"/>
          <w:bCs/>
          <w:sz w:val="28"/>
          <w:szCs w:val="28"/>
        </w:rP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рассчитанный как сумма значений, предусмотренных </w:t>
      </w:r>
      <w:r>
        <w:rPr>
          <w:b w:val="false"/>
          <w:bCs/>
          <w:strike w:val="false"/>
          <w:dstrike w:val="false"/>
          <w:color w:val="000000"/>
          <w:sz w:val="28"/>
          <w:szCs w:val="28"/>
          <w:u w:val="none"/>
          <w:effect w:val="none"/>
        </w:rPr>
        <w:t>абзацами вторым</w:t>
      </w:r>
      <w:r>
        <w:rPr>
          <w:b w:val="false"/>
          <w:bCs/>
          <w:color w:val="000000"/>
          <w:sz w:val="28"/>
          <w:szCs w:val="28"/>
        </w:rPr>
        <w:t xml:space="preserve"> - </w:t>
      </w:r>
      <w:r>
        <w:rPr>
          <w:b w:val="false"/>
          <w:bCs/>
          <w:strike w:val="false"/>
          <w:dstrike w:val="false"/>
          <w:color w:val="000000"/>
          <w:sz w:val="28"/>
          <w:szCs w:val="28"/>
          <w:u w:val="none"/>
          <w:effect w:val="none"/>
        </w:rPr>
        <w:t>шестым</w:t>
      </w:r>
      <w:r>
        <w:rPr>
          <w:b w:val="false"/>
          <w:bCs/>
          <w:color w:val="000000"/>
          <w:sz w:val="28"/>
          <w:szCs w:val="28"/>
        </w:rPr>
        <w:t xml:space="preserve"> </w:t>
      </w:r>
      <w:r>
        <w:rPr>
          <w:b w:val="false"/>
          <w:bCs/>
          <w:sz w:val="28"/>
          <w:szCs w:val="28"/>
        </w:rPr>
        <w:t>указанной позиции (тыс. рублей)</w:t>
      </w:r>
      <w:r>
        <w:rPr>
          <w:bCs/>
          <w:sz w:val="28"/>
          <w:szCs w:val="28"/>
        </w:rPr>
        <w:t>.</w:t>
      </w:r>
    </w:p>
    <w:p>
      <w:pPr>
        <w:pStyle w:val="Normal"/>
        <w:widowControl/>
        <w:suppressAutoHyphens w:val="true"/>
        <w:overflowPunct w:val="true"/>
        <w:bidi w:val="0"/>
        <w:spacing w:lineRule="auto" w:line="240" w:before="0" w:after="0"/>
        <w:ind w:left="0" w:right="0" w:firstLine="567"/>
        <w:jc w:val="both"/>
        <w:rPr/>
      </w:pPr>
      <w:r>
        <w:rPr>
          <w:bCs/>
          <w:sz w:val="28"/>
          <w:szCs w:val="28"/>
        </w:rPr>
        <w:t xml:space="preserve">В Отчете об объеме закупок у СМП и СОНКО за 2022 год в  позиции 2 раздела II </w:t>
      </w:r>
      <w:r>
        <w:rPr>
          <w:b w:val="false"/>
          <w:bCs/>
          <w:sz w:val="28"/>
          <w:szCs w:val="28"/>
        </w:rPr>
        <w:t xml:space="preserve">в </w:t>
      </w:r>
      <w:r>
        <w:rPr>
          <w:b w:val="false"/>
          <w:bCs/>
          <w:strike w:val="false"/>
          <w:dstrike w:val="false"/>
          <w:color w:val="000000"/>
          <w:sz w:val="28"/>
          <w:szCs w:val="28"/>
          <w:u w:val="none"/>
          <w:effect w:val="none"/>
        </w:rPr>
        <w:t xml:space="preserve">абзаце первом </w:t>
      </w:r>
      <w:r>
        <w:rPr>
          <w:bCs/>
          <w:sz w:val="28"/>
          <w:szCs w:val="28"/>
        </w:rPr>
        <w:t xml:space="preserve">указана сумма </w:t>
      </w:r>
      <w:r>
        <w:rPr>
          <w:rFonts w:eastAsia="Times New Roman" w:cs="Times New Roman"/>
          <w:b w:val="false"/>
          <w:bCs/>
          <w:i w:val="false"/>
          <w:caps w:val="false"/>
          <w:smallCaps w:val="false"/>
          <w:color w:val="000000"/>
          <w:spacing w:val="0"/>
          <w:kern w:val="0"/>
          <w:sz w:val="28"/>
          <w:szCs w:val="28"/>
          <w:lang w:val="ru-RU" w:eastAsia="ru-RU" w:bidi="ar-SA"/>
        </w:rPr>
        <w:t>0,00000</w:t>
      </w:r>
      <w:r>
        <w:rPr>
          <w:rFonts w:eastAsia="Times New Roman" w:cs="Times New Roman"/>
          <w:bCs/>
          <w:color w:val="auto"/>
          <w:kern w:val="0"/>
          <w:sz w:val="28"/>
          <w:szCs w:val="28"/>
          <w:lang w:val="ru-RU" w:eastAsia="ru-RU" w:bidi="ar-SA"/>
        </w:rPr>
        <w:t xml:space="preserve"> </w:t>
      </w:r>
      <w:r>
        <w:rPr>
          <w:bCs/>
          <w:sz w:val="28"/>
          <w:szCs w:val="28"/>
        </w:rPr>
        <w:t xml:space="preserve"> тыс. рублей.</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Тогда как, в рамках осуществления закупок по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4 391,9152</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 xml:space="preserve"> </w:t>
      </w:r>
      <w:r>
        <w:rPr>
          <w:bCs/>
          <w:color w:val="000000"/>
          <w:sz w:val="28"/>
          <w:szCs w:val="28"/>
        </w:rPr>
        <w:t>тыс. рублей.</w:t>
      </w:r>
    </w:p>
    <w:p>
      <w:pPr>
        <w:pStyle w:val="Style19"/>
        <w:widowControl/>
        <w:suppressAutoHyphens w:val="true"/>
        <w:overflowPunct w:val="true"/>
        <w:bidi w:val="0"/>
        <w:spacing w:lineRule="auto" w:line="240" w:before="0" w:after="0"/>
        <w:ind w:left="0" w:right="0" w:firstLine="567"/>
        <w:jc w:val="both"/>
        <w:rPr/>
      </w:pPr>
      <w:r>
        <w:rPr>
          <w:b w:val="false"/>
          <w:bCs/>
          <w:color w:val="000000"/>
          <w:sz w:val="28"/>
          <w:szCs w:val="28"/>
        </w:rPr>
        <w:t xml:space="preserve">Согласно подпункту «б» пункта 2 Требований к заполнению формы Отчета об объеме закупок у СМП и СОНКО, в позиции 2 раздела II в </w:t>
      </w:r>
      <w:r>
        <w:rPr>
          <w:b w:val="false"/>
          <w:bCs/>
          <w:strike w:val="false"/>
          <w:dstrike w:val="false"/>
          <w:color w:val="000000"/>
          <w:sz w:val="28"/>
          <w:szCs w:val="28"/>
          <w:u w:val="none"/>
          <w:effect w:val="none"/>
        </w:rPr>
        <w:t>абзаце четвертом</w:t>
      </w:r>
      <w:r>
        <w:rPr>
          <w:b w:val="false"/>
          <w:bCs/>
          <w:color w:val="000000"/>
          <w:sz w:val="28"/>
          <w:szCs w:val="28"/>
        </w:rPr>
        <w:t xml:space="preserve"> указывается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w:t>
      </w:r>
      <w:r>
        <w:rPr>
          <w:b w:val="false"/>
          <w:bCs/>
          <w:strike w:val="false"/>
          <w:dstrike w:val="false"/>
          <w:color w:val="000000"/>
          <w:sz w:val="28"/>
          <w:szCs w:val="28"/>
          <w:u w:val="none"/>
          <w:effect w:val="none"/>
        </w:rPr>
        <w:t>частью 1</w:t>
      </w:r>
      <w:r>
        <w:rPr>
          <w:b w:val="false"/>
          <w:bCs/>
          <w:color w:val="000000"/>
          <w:sz w:val="28"/>
          <w:szCs w:val="28"/>
        </w:rPr>
        <w:t xml:space="preserve"> (за исключением закупок, которые осуществлены в соответствии с </w:t>
      </w:r>
      <w:r>
        <w:rPr>
          <w:b w:val="false"/>
          <w:bCs/>
          <w:strike w:val="false"/>
          <w:dstrike w:val="false"/>
          <w:color w:val="000000"/>
          <w:sz w:val="28"/>
          <w:szCs w:val="28"/>
          <w:u w:val="none"/>
          <w:effect w:val="none"/>
        </w:rPr>
        <w:t>пунктом 25 части 1 статьи 93</w:t>
      </w:r>
      <w:r>
        <w:rPr>
          <w:b w:val="false"/>
          <w:bCs/>
          <w:color w:val="000000"/>
          <w:sz w:val="28"/>
          <w:szCs w:val="28"/>
        </w:rPr>
        <w:t xml:space="preserve"> Закона № 44-ФЗ по результатам несостоявшегося определения поставщиков (подрядчиков, исполнителей), проведенного в соответствии с требованиями </w:t>
      </w:r>
      <w:r>
        <w:rPr>
          <w:b w:val="false"/>
          <w:bCs/>
          <w:strike w:val="false"/>
          <w:dstrike w:val="false"/>
          <w:color w:val="000000"/>
          <w:sz w:val="28"/>
          <w:szCs w:val="28"/>
          <w:u w:val="none"/>
          <w:effect w:val="none"/>
        </w:rPr>
        <w:t>пункта 1 части 1 статьи 30</w:t>
      </w:r>
      <w:r>
        <w:rPr>
          <w:b w:val="false"/>
          <w:bCs/>
          <w:color w:val="000000"/>
          <w:sz w:val="28"/>
          <w:szCs w:val="28"/>
        </w:rPr>
        <w:t xml:space="preserve"> Закона № 44-ФЗ) и </w:t>
      </w:r>
      <w:r>
        <w:rPr>
          <w:b w:val="false"/>
          <w:bCs/>
          <w:strike w:val="false"/>
          <w:dstrike w:val="false"/>
          <w:color w:val="000000"/>
          <w:sz w:val="28"/>
          <w:szCs w:val="28"/>
          <w:u w:val="none"/>
          <w:effect w:val="none"/>
        </w:rPr>
        <w:t>частью 12 статьи 93</w:t>
      </w:r>
      <w:r>
        <w:rPr>
          <w:b w:val="false"/>
          <w:bCs/>
          <w:color w:val="000000"/>
          <w:sz w:val="28"/>
          <w:szCs w:val="28"/>
        </w:rPr>
        <w:t xml:space="preserve"> Закона № 44-ФЗ, за исключением объема финансового обеспечения для оплаты в отчетном году контрактов, содержащих сведения, составляющие государственную тайну            (тыс. рублей).</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2022 год в  позиции 2 раздела II </w:t>
      </w:r>
      <w:r>
        <w:rPr>
          <w:b w:val="false"/>
          <w:bCs/>
          <w:color w:val="000000"/>
          <w:sz w:val="28"/>
          <w:szCs w:val="28"/>
        </w:rPr>
        <w:t xml:space="preserve">в </w:t>
      </w:r>
      <w:r>
        <w:rPr>
          <w:b w:val="false"/>
          <w:bCs/>
          <w:strike w:val="false"/>
          <w:dstrike w:val="false"/>
          <w:color w:val="000000"/>
          <w:sz w:val="28"/>
          <w:szCs w:val="28"/>
          <w:u w:val="none"/>
          <w:effect w:val="none"/>
        </w:rPr>
        <w:t xml:space="preserve">абзаце </w:t>
      </w:r>
      <w:r>
        <w:rPr>
          <w:rFonts w:eastAsia="Times New Roman" w:cs="Times New Roman"/>
          <w:b w:val="false"/>
          <w:bCs/>
          <w:strike w:val="false"/>
          <w:dstrike w:val="false"/>
          <w:color w:val="000000"/>
          <w:kern w:val="0"/>
          <w:sz w:val="28"/>
          <w:szCs w:val="28"/>
          <w:u w:val="none"/>
          <w:effect w:val="none"/>
          <w:lang w:val="ru-RU" w:eastAsia="ru-RU" w:bidi="ar-SA"/>
        </w:rPr>
        <w:t>четвертом</w:t>
      </w:r>
      <w:r>
        <w:rPr>
          <w:b w:val="false"/>
          <w:bCs/>
          <w:strike w:val="false"/>
          <w:dstrike w:val="false"/>
          <w:color w:val="000000"/>
          <w:sz w:val="28"/>
          <w:szCs w:val="28"/>
          <w:u w:val="none"/>
          <w:effect w:val="none"/>
        </w:rPr>
        <w:t xml:space="preserve"> </w:t>
      </w:r>
      <w:r>
        <w:rPr>
          <w:bCs/>
          <w:color w:val="000000"/>
          <w:sz w:val="28"/>
          <w:szCs w:val="28"/>
        </w:rPr>
        <w:t>указана сумма 0,000</w:t>
      </w:r>
      <w:r>
        <w:rPr>
          <w:rFonts w:eastAsia="Times New Roman" w:cs="Times New Roman"/>
          <w:b w:val="false"/>
          <w:bCs/>
          <w:i w:val="false"/>
          <w:caps w:val="false"/>
          <w:smallCaps w:val="false"/>
          <w:color w:val="000000"/>
          <w:spacing w:val="0"/>
          <w:kern w:val="0"/>
          <w:sz w:val="28"/>
          <w:szCs w:val="28"/>
          <w:lang w:val="ru-RU" w:eastAsia="ru-RU" w:bidi="ar-SA"/>
        </w:rPr>
        <w:t>00</w:t>
      </w:r>
      <w:r>
        <w:rPr>
          <w:bCs/>
          <w:color w:val="000000"/>
          <w:sz w:val="28"/>
          <w:szCs w:val="28"/>
        </w:rPr>
        <w:t xml:space="preserve"> тыс. рублей.</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Тогда как, в рамках осуществления закупок по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 xml:space="preserve">4 391,9152 </w:t>
      </w:r>
      <w:r>
        <w:rPr>
          <w:bCs/>
          <w:color w:val="000000"/>
          <w:sz w:val="28"/>
          <w:szCs w:val="28"/>
        </w:rPr>
        <w:t>тыс. рублей.</w:t>
      </w:r>
    </w:p>
    <w:p>
      <w:pPr>
        <w:pStyle w:val="Normal"/>
        <w:widowControl/>
        <w:suppressAutoHyphens w:val="true"/>
        <w:overflowPunct w:val="true"/>
        <w:bidi w:val="0"/>
        <w:spacing w:lineRule="auto" w:line="240" w:before="0" w:after="0"/>
        <w:ind w:left="0" w:right="0" w:firstLine="567"/>
        <w:jc w:val="both"/>
        <w:rPr/>
      </w:pPr>
      <w:r>
        <w:rPr>
          <w:bCs/>
          <w:sz w:val="28"/>
          <w:szCs w:val="28"/>
        </w:rPr>
        <w:t xml:space="preserve">Согласно подпункту «в» пункта 2 Требований к заполнению формы Отчета об объеме закупок у СМП и СОНКО в позиции 3 раздела II, указывается совокупный годовой объем закупок, </w:t>
      </w:r>
      <w:r>
        <w:rPr>
          <w:b w:val="false"/>
          <w:color w:val="000000"/>
          <w:sz w:val="28"/>
          <w:szCs w:val="28"/>
        </w:rPr>
        <w:t xml:space="preserve">рассчитанный за вычетом закупок, не подлежащих в соответствии с </w:t>
      </w:r>
      <w:r>
        <w:rPr>
          <w:b w:val="false"/>
          <w:bCs/>
          <w:strike w:val="false"/>
          <w:dstrike w:val="false"/>
          <w:color w:val="000000"/>
          <w:sz w:val="28"/>
          <w:szCs w:val="28"/>
          <w:u w:val="none"/>
          <w:effect w:val="none"/>
        </w:rPr>
        <w:t>Закон</w:t>
      </w:r>
      <w:r>
        <w:rPr>
          <w:rFonts w:eastAsia="Times New Roman" w:cs="Times New Roman"/>
          <w:b w:val="false"/>
          <w:bCs/>
          <w:strike w:val="false"/>
          <w:dstrike w:val="false"/>
          <w:color w:val="000000"/>
          <w:kern w:val="0"/>
          <w:sz w:val="28"/>
          <w:szCs w:val="28"/>
          <w:u w:val="none"/>
          <w:effect w:val="none"/>
          <w:lang w:val="ru-RU" w:eastAsia="ru-RU" w:bidi="ar-SA"/>
        </w:rPr>
        <w:t>ом</w:t>
      </w:r>
      <w:r>
        <w:rPr>
          <w:b w:val="false"/>
          <w:bCs/>
          <w:strike w:val="false"/>
          <w:dstrike w:val="false"/>
          <w:color w:val="000000"/>
          <w:sz w:val="28"/>
          <w:szCs w:val="28"/>
          <w:u w:val="none"/>
          <w:effect w:val="none"/>
        </w:rPr>
        <w:t xml:space="preserve"> № 44-ФЗ</w:t>
      </w:r>
      <w:r>
        <w:rPr>
          <w:b w:val="false"/>
          <w:color w:val="000000"/>
          <w:sz w:val="28"/>
          <w:szCs w:val="28"/>
        </w:rP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как разница между совокупным годовым объемом закупок заказчика за отчетный год, указанным в </w:t>
      </w:r>
      <w:r>
        <w:rPr>
          <w:b w:val="false"/>
          <w:strike w:val="false"/>
          <w:dstrike w:val="false"/>
          <w:color w:val="000000"/>
          <w:sz w:val="28"/>
          <w:szCs w:val="28"/>
          <w:u w:val="none"/>
          <w:effect w:val="none"/>
        </w:rPr>
        <w:t>подпункте «а»</w:t>
      </w:r>
      <w:r>
        <w:rPr>
          <w:b w:val="false"/>
          <w:color w:val="000000"/>
          <w:sz w:val="28"/>
          <w:szCs w:val="28"/>
        </w:rPr>
        <w:t xml:space="preserve"> настоящего пункта, и общим объемом финансового обеспечения для оплаты контрактов в отчетном году, указанным в </w:t>
      </w:r>
      <w:r>
        <w:rPr>
          <w:b w:val="false"/>
          <w:strike w:val="false"/>
          <w:dstrike w:val="false"/>
          <w:color w:val="000000"/>
          <w:sz w:val="28"/>
          <w:szCs w:val="28"/>
          <w:u w:val="none"/>
          <w:effect w:val="none"/>
        </w:rPr>
        <w:t>подпункте «б»</w:t>
      </w:r>
      <w:r>
        <w:rPr>
          <w:b w:val="false"/>
          <w:color w:val="000000"/>
          <w:sz w:val="28"/>
          <w:szCs w:val="28"/>
        </w:rPr>
        <w:t xml:space="preserve"> настоящего пункта (тыс. рублей)</w:t>
      </w:r>
      <w:r>
        <w:rPr>
          <w:bCs/>
          <w:sz w:val="28"/>
          <w:szCs w:val="28"/>
        </w:rPr>
        <w:t xml:space="preserve">. </w:t>
      </w:r>
    </w:p>
    <w:p>
      <w:pPr>
        <w:pStyle w:val="Normal"/>
        <w:widowControl/>
        <w:suppressAutoHyphens w:val="true"/>
        <w:overflowPunct w:val="true"/>
        <w:bidi w:val="0"/>
        <w:spacing w:lineRule="auto" w:line="240" w:before="0" w:after="0"/>
        <w:ind w:left="0" w:right="0" w:firstLine="567"/>
        <w:jc w:val="both"/>
        <w:rPr/>
      </w:pPr>
      <w:r>
        <w:rPr>
          <w:bCs/>
          <w:sz w:val="28"/>
          <w:szCs w:val="28"/>
        </w:rPr>
        <w:t xml:space="preserve">В Отчете об объеме закупок у СМП и СОНКО за 2022 год в позиции 3 раздела II Заказчиком указана сумма </w:t>
      </w:r>
      <w:r>
        <w:rPr>
          <w:rFonts w:eastAsia="Times New Roman" w:cs="Times New Roman"/>
          <w:b w:val="false"/>
          <w:bCs/>
          <w:i w:val="false"/>
          <w:caps w:val="false"/>
          <w:smallCaps w:val="false"/>
          <w:color w:val="000000"/>
          <w:spacing w:val="0"/>
          <w:kern w:val="0"/>
          <w:sz w:val="28"/>
          <w:szCs w:val="28"/>
          <w:lang w:val="ru-RU" w:eastAsia="ru-RU" w:bidi="ar-SA"/>
        </w:rPr>
        <w:t>5 144,18000</w:t>
      </w:r>
      <w:r>
        <w:rPr>
          <w:rFonts w:eastAsia="Times New Roman" w:cs="Times New Roman"/>
          <w:bCs/>
          <w:color w:val="auto"/>
          <w:kern w:val="0"/>
          <w:sz w:val="28"/>
          <w:szCs w:val="28"/>
          <w:lang w:val="ru-RU" w:eastAsia="ru-RU" w:bidi="ar-SA"/>
        </w:rPr>
        <w:t xml:space="preserve"> </w:t>
      </w:r>
      <w:r>
        <w:rPr>
          <w:bCs/>
          <w:sz w:val="28"/>
          <w:szCs w:val="28"/>
        </w:rPr>
        <w:t xml:space="preserve"> тыс. рублей. </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Однако, учитывая показатели </w:t>
      </w:r>
      <w:r>
        <w:rPr>
          <w:rFonts w:eastAsia="Times New Roman" w:cs="Times New Roman"/>
          <w:bCs/>
          <w:color w:val="000000"/>
          <w:kern w:val="0"/>
          <w:sz w:val="28"/>
          <w:szCs w:val="28"/>
          <w:lang w:val="ru-RU" w:eastAsia="ru-RU" w:bidi="ar-SA"/>
        </w:rPr>
        <w:t>ПФХД</w:t>
      </w:r>
      <w:r>
        <w:rPr>
          <w:bCs/>
          <w:color w:val="000000"/>
          <w:sz w:val="28"/>
          <w:szCs w:val="28"/>
        </w:rPr>
        <w:t xml:space="preserve"> и показатели реестра контрактов, заключенных с единственным поставщиком, сумма, которую следовало отразить в позиции 3 раздела II, должна составить 753,36666</w:t>
      </w:r>
      <w:r>
        <w:rPr>
          <w:rFonts w:eastAsia="Times New Roman" w:cs="Times New Roman"/>
          <w:b w:val="false"/>
          <w:bCs/>
          <w:i w:val="false"/>
          <w:strike w:val="false"/>
          <w:dstrike w:val="false"/>
          <w:outline w:val="false"/>
          <w:shadow w:val="false"/>
          <w:color w:val="000000"/>
          <w:kern w:val="0"/>
          <w:sz w:val="28"/>
          <w:szCs w:val="28"/>
          <w:u w:val="none"/>
          <w:em w:val="none"/>
          <w:lang w:val="ru-RU" w:eastAsia="ru-RU" w:bidi="ar-SA"/>
        </w:rPr>
        <w:t xml:space="preserve"> </w:t>
      </w:r>
      <w:r>
        <w:rPr>
          <w:bCs/>
          <w:color w:val="000000"/>
          <w:sz w:val="28"/>
          <w:szCs w:val="28"/>
        </w:rPr>
        <w:t>тыс. рублей.</w:t>
      </w:r>
    </w:p>
    <w:p>
      <w:pPr>
        <w:pStyle w:val="Normal"/>
        <w:widowControl/>
        <w:suppressAutoHyphens w:val="true"/>
        <w:overflowPunct w:val="true"/>
        <w:bidi w:val="0"/>
        <w:spacing w:lineRule="auto" w:line="240" w:before="0" w:after="0"/>
        <w:ind w:left="0" w:right="0" w:firstLine="567"/>
        <w:jc w:val="both"/>
        <w:rPr/>
      </w:pPr>
      <w:r>
        <w:rPr>
          <w:rFonts w:eastAsia="Calibri" w:cs="Times New Roman"/>
          <w:bCs/>
          <w:color w:val="000000"/>
          <w:kern w:val="0"/>
          <w:sz w:val="28"/>
          <w:szCs w:val="28"/>
          <w:lang w:val="ru-RU" w:eastAsia="ar-SA" w:bidi="ar-SA"/>
        </w:rPr>
        <w:t xml:space="preserve">Выявленное нарушение содержит признаки административного правонарушения, ответственность за которое предусмотрена частью </w:t>
      </w:r>
      <w:r>
        <w:rPr>
          <w:rFonts w:eastAsia="Calibri" w:cs="Times New Roman"/>
          <w:bCs/>
          <w:color w:val="000000"/>
          <w:kern w:val="0"/>
          <w:sz w:val="28"/>
          <w:szCs w:val="28"/>
          <w:lang w:val="ru-RU" w:eastAsia="en-US" w:bidi="ar-SA"/>
        </w:rPr>
        <w:t>1.4 статьи 7.30 КоАП РФ.</w:t>
      </w:r>
    </w:p>
    <w:p>
      <w:pPr>
        <w:pStyle w:val="Normal"/>
        <w:widowControl/>
        <w:suppressAutoHyphens w:val="true"/>
        <w:overflowPunct w:val="false"/>
        <w:bidi w:val="0"/>
        <w:spacing w:lineRule="auto" w:line="240" w:before="0" w:after="0"/>
        <w:ind w:left="0" w:right="0" w:firstLine="567"/>
        <w:jc w:val="both"/>
        <w:rPr>
          <w:sz w:val="28"/>
          <w:szCs w:val="28"/>
        </w:rPr>
      </w:pPr>
      <w:r>
        <w:rPr>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overflowPunct w:val="false"/>
        <w:bidi w:val="0"/>
        <w:spacing w:lineRule="auto" w:line="240" w:before="0" w:after="0"/>
        <w:ind w:left="0" w:right="0" w:firstLine="567"/>
        <w:jc w:val="both"/>
        <w:rPr/>
      </w:pPr>
      <w:r>
        <w:rPr>
          <w:rFonts w:eastAsia="Calibri" w:cs="Times New Roman"/>
          <w:bCs/>
          <w:color w:val="000000"/>
          <w:kern w:val="0"/>
          <w:sz w:val="28"/>
          <w:szCs w:val="28"/>
          <w:lang w:val="ru-RU" w:eastAsia="en-US" w:bidi="ar-SA"/>
        </w:rPr>
        <w:t xml:space="preserve">Таким образом, срок давности привлечения к административной ответственности за правонарушение по части </w:t>
      </w:r>
      <w:r>
        <w:rPr>
          <w:rFonts w:eastAsia="Calibri" w:cs="Times New Roman"/>
          <w:bCs/>
          <w:color w:val="000000"/>
          <w:kern w:val="0"/>
          <w:sz w:val="28"/>
          <w:szCs w:val="28"/>
          <w:lang w:val="ru-RU" w:eastAsia="ar-SA" w:bidi="ar-SA"/>
        </w:rPr>
        <w:t>1.4 статьи 7.30</w:t>
      </w:r>
      <w:r>
        <w:rPr>
          <w:rFonts w:eastAsia="Calibri" w:cs="Times New Roman"/>
          <w:bCs/>
          <w:color w:val="000000"/>
          <w:kern w:val="0"/>
          <w:sz w:val="28"/>
          <w:szCs w:val="28"/>
          <w:lang w:val="ru-RU" w:eastAsia="en-US" w:bidi="ar-SA"/>
        </w:rPr>
        <w:t xml:space="preserve"> КоАП РФ составляет один год и начинает исчисляться с момента его совершения, т.е. </w:t>
      </w:r>
      <w:r>
        <w:rPr>
          <w:rFonts w:eastAsia="Calibri" w:cs="Times New Roman"/>
          <w:bCs/>
          <w:color w:val="000000"/>
          <w:kern w:val="0"/>
          <w:sz w:val="28"/>
          <w:szCs w:val="28"/>
          <w:lang w:val="x-none" w:eastAsia="en-US" w:bidi="ar-SA"/>
        </w:rPr>
        <w:t xml:space="preserve">на момент </w:t>
      </w:r>
      <w:r>
        <w:rPr>
          <w:rFonts w:eastAsia="Calibri" w:cs="Times New Roman"/>
          <w:bCs/>
          <w:color w:val="000000"/>
          <w:kern w:val="0"/>
          <w:sz w:val="28"/>
          <w:szCs w:val="28"/>
          <w:lang w:val="ru-RU" w:eastAsia="en-US" w:bidi="ar-SA"/>
        </w:rPr>
        <w:t xml:space="preserve">проведения плановой проверки он </w:t>
      </w:r>
      <w:r>
        <w:rPr>
          <w:rFonts w:eastAsia="Calibri" w:cs="Times New Roman"/>
          <w:bCs/>
          <w:color w:val="000000"/>
          <w:kern w:val="0"/>
          <w:sz w:val="28"/>
          <w:szCs w:val="28"/>
          <w:lang w:val="x-none" w:eastAsia="en-US" w:bidi="ar-SA"/>
        </w:rPr>
        <w:t>истек.</w:t>
      </w:r>
    </w:p>
    <w:p>
      <w:pPr>
        <w:pStyle w:val="Normal"/>
        <w:widowControl/>
        <w:suppressAutoHyphens w:val="true"/>
        <w:bidi w:val="0"/>
        <w:spacing w:lineRule="auto" w:line="240" w:before="0" w:after="0"/>
        <w:ind w:left="0" w:right="0" w:firstLine="680"/>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2021, 2022 и 2023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true"/>
        <w:bidi w:val="0"/>
        <w:spacing w:lineRule="auto" w:line="240" w:before="0" w:after="0"/>
        <w:ind w:left="0" w:right="0" w:firstLine="680"/>
        <w:jc w:val="both"/>
        <w:rPr/>
      </w:pPr>
      <w:r>
        <w:rPr>
          <w:bCs/>
          <w:color w:val="000000"/>
          <w:sz w:val="28"/>
          <w:szCs w:val="28"/>
        </w:rPr>
        <w:t xml:space="preserve">- Отчет об объеме закупок российских товаров размещен в ЕИС за 2021 год — </w:t>
      </w:r>
      <w:r>
        <w:rPr>
          <w:bCs/>
          <w:color w:val="000000"/>
          <w:sz w:val="28"/>
          <w:szCs w:val="28"/>
          <w:lang w:val="en-US"/>
        </w:rPr>
        <w:t>15</w:t>
      </w:r>
      <w:r>
        <w:rPr>
          <w:rFonts w:eastAsia="Times New Roman" w:cs="Times New Roman"/>
          <w:bCs/>
          <w:color w:val="000000"/>
          <w:kern w:val="0"/>
          <w:sz w:val="28"/>
          <w:szCs w:val="28"/>
          <w:lang w:val="en-US" w:eastAsia="ru-RU" w:bidi="ar-SA"/>
        </w:rPr>
        <w:t>.08.</w:t>
      </w:r>
      <w:r>
        <w:rPr>
          <w:bCs/>
          <w:color w:val="000000"/>
          <w:sz w:val="28"/>
          <w:szCs w:val="28"/>
          <w:lang w:val="en-US"/>
        </w:rPr>
        <w:t>2022</w:t>
      </w:r>
      <w:r>
        <w:rPr>
          <w:bCs/>
          <w:color w:val="000000"/>
          <w:sz w:val="28"/>
          <w:szCs w:val="28"/>
        </w:rPr>
        <w:t xml:space="preserve"> года, т.е с нарушением установленного срока,                             за 2022 год — </w:t>
      </w:r>
      <w:r>
        <w:rPr>
          <w:rFonts w:eastAsia="Times New Roman" w:cs="Times New Roman"/>
          <w:bCs/>
          <w:color w:val="000000"/>
          <w:kern w:val="0"/>
          <w:sz w:val="28"/>
          <w:szCs w:val="28"/>
          <w:lang w:val="ru-RU" w:eastAsia="ru-RU" w:bidi="ar-SA"/>
        </w:rPr>
        <w:t>29.03.</w:t>
      </w:r>
      <w:r>
        <w:rPr>
          <w:bCs/>
          <w:color w:val="000000"/>
          <w:sz w:val="28"/>
          <w:szCs w:val="28"/>
        </w:rPr>
        <w:t>2023 года, т.е. своевременно,                                                           за 2023 год    — 24.06.2024 года (Приложение № 4), т.е. с нарушением установленного срока</w:t>
      </w:r>
      <w:r>
        <w:rPr>
          <w:bCs/>
          <w:color w:val="000000"/>
          <w:sz w:val="28"/>
          <w:szCs w:val="28"/>
          <w:lang w:val="en-US"/>
        </w:rPr>
        <w:t>.</w:t>
      </w:r>
    </w:p>
    <w:p>
      <w:pPr>
        <w:pStyle w:val="Normal"/>
        <w:widowControl/>
        <w:suppressAutoHyphens w:val="true"/>
        <w:bidi w:val="0"/>
        <w:spacing w:lineRule="auto" w:line="240" w:before="0" w:after="0"/>
        <w:ind w:left="0" w:right="0" w:firstLine="709"/>
        <w:jc w:val="both"/>
        <w:rPr/>
      </w:pPr>
      <w:r>
        <w:rPr>
          <w:bCs/>
          <w:color w:val="000000"/>
          <w:sz w:val="28"/>
          <w:szCs w:val="28"/>
        </w:rPr>
        <w:t xml:space="preserve">Размещение вышеуказанного Отчета об объеме закупок российских товаров за 2021 год с нарушением установленного срока, квалифицируется,  как размещение Заказчиком в ЕИС информации и документов с нарушением требований, предусмотренных частью 2 статьи 30.1 Закона № 44-ФЗ. </w:t>
      </w:r>
    </w:p>
    <w:p>
      <w:pPr>
        <w:pStyle w:val="Normal"/>
        <w:widowControl/>
        <w:suppressAutoHyphens w:val="true"/>
        <w:overflowPunct w:val="true"/>
        <w:bidi w:val="0"/>
        <w:spacing w:lineRule="auto" w:line="240" w:before="0" w:after="0"/>
        <w:ind w:left="0" w:right="0" w:firstLine="709"/>
        <w:jc w:val="both"/>
        <w:rPr>
          <w:color w:val="000000"/>
        </w:rPr>
      </w:pPr>
      <w:r>
        <w:rPr>
          <w:bCs/>
          <w:color w:val="000000"/>
          <w:sz w:val="28"/>
          <w:szCs w:val="28"/>
        </w:rPr>
        <w:t xml:space="preserve">В указанном нарушении усматриваются признаки административного правонарушения, предусмотренного частью 1.4 статьи 7.30 </w:t>
      </w:r>
      <w:r>
        <w:rPr>
          <w:rFonts w:eastAsia="Calibri" w:cs="Times New Roman"/>
          <w:b w:val="false"/>
          <w:bCs w:val="false"/>
          <w:color w:val="000000"/>
          <w:sz w:val="28"/>
          <w:szCs w:val="28"/>
          <w:lang w:val="x-none" w:eastAsia="en-US"/>
        </w:rPr>
        <w:t xml:space="preserve">КоАП РФ. </w:t>
      </w:r>
      <w:r>
        <w:rPr>
          <w:rFonts w:eastAsia="Calibri" w:cs="Times New Roman"/>
          <w:b w:val="false"/>
          <w:bCs w:val="false"/>
          <w:color w:val="000000"/>
          <w:sz w:val="28"/>
          <w:szCs w:val="28"/>
          <w:highlight w:val="white"/>
          <w:lang w:val="ru-RU" w:eastAsia="en-US"/>
        </w:rPr>
        <w:t xml:space="preserve">Однако, </w:t>
      </w:r>
      <w:r>
        <w:rPr>
          <w:rFonts w:eastAsia="Calibri" w:cs="Times New Roman"/>
          <w:b w:val="false"/>
          <w:bCs/>
          <w:color w:val="000000"/>
          <w:sz w:val="28"/>
          <w:szCs w:val="28"/>
          <w:highlight w:val="white"/>
          <w:u w:val="none"/>
          <w:lang w:val="ru-RU" w:eastAsia="ar-SA"/>
        </w:rPr>
        <w:t xml:space="preserve">срок давности привлечения к административной ответственности </w:t>
      </w:r>
      <w:r>
        <w:rPr>
          <w:rFonts w:eastAsia="Calibri" w:cs="Times New Roman"/>
          <w:b w:val="false"/>
          <w:bCs/>
          <w:color w:val="000000"/>
          <w:kern w:val="0"/>
          <w:sz w:val="28"/>
          <w:szCs w:val="28"/>
          <w:highlight w:val="white"/>
          <w:u w:val="none"/>
          <w:lang w:val="ru-RU" w:eastAsia="ar-SA" w:bidi="ar-SA"/>
        </w:rPr>
        <w:t>на дату проведения настоящей проверки истек</w:t>
      </w:r>
      <w:r>
        <w:rPr>
          <w:rFonts w:eastAsia="Calibri" w:cs="Times New Roman"/>
          <w:b w:val="false"/>
          <w:bCs/>
          <w:color w:val="000000"/>
          <w:sz w:val="28"/>
          <w:szCs w:val="28"/>
          <w:highlight w:val="white"/>
          <w:u w:val="none"/>
          <w:lang w:val="ru-RU" w:eastAsia="ar-SA"/>
        </w:rPr>
        <w:t xml:space="preserve"> (более года).</w:t>
      </w:r>
    </w:p>
    <w:p>
      <w:pPr>
        <w:pStyle w:val="Normal"/>
        <w:widowControl/>
        <w:suppressAutoHyphens w:val="true"/>
        <w:overflowPunct w:val="true"/>
        <w:bidi w:val="0"/>
        <w:spacing w:lineRule="auto" w:line="240" w:before="0" w:after="0"/>
        <w:ind w:left="0" w:right="0" w:firstLine="709"/>
        <w:jc w:val="both"/>
        <w:rPr>
          <w:color w:val="000000"/>
        </w:rPr>
      </w:pPr>
      <w:r>
        <w:rPr>
          <w:rFonts w:eastAsia="Calibri" w:cs="Times New Roman"/>
          <w:b w:val="false"/>
          <w:bCs/>
          <w:color w:val="000000"/>
          <w:sz w:val="28"/>
          <w:szCs w:val="28"/>
          <w:highlight w:val="white"/>
          <w:u w:val="none"/>
          <w:lang w:val="ru-RU" w:eastAsia="ar-SA"/>
        </w:rPr>
        <w:t xml:space="preserve">Размещение вышеуказанного Отчета об объеме закупок российских товаров за 2023 год с нарушением установленного срока, квалифицируется,  как размещение Заказчиком в ЕИС информации и документов с нарушением требований, предусмотренных частью 2 статьи 30.1 Закона № 44-ФЗ (Приложение № 5)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(документ подписан электронной                                        подписью Мельниковой Е.В.) (Приложение № 6)</w:t>
      </w:r>
      <w:r>
        <w:rPr>
          <w:rFonts w:eastAsia="Calibri" w:cs="Times New Roman"/>
          <w:b w:val="false"/>
          <w:bCs/>
          <w:color w:val="000000"/>
          <w:sz w:val="28"/>
          <w:szCs w:val="28"/>
          <w:highlight w:val="white"/>
          <w:u w:val="none"/>
          <w:lang w:val="ru-RU" w:eastAsia="ar-SA"/>
        </w:rPr>
        <w:t xml:space="preserve">. </w:t>
      </w:r>
    </w:p>
    <w:p>
      <w:pPr>
        <w:pStyle w:val="Normal"/>
        <w:widowControl/>
        <w:suppressAutoHyphens w:val="true"/>
        <w:overflowPunct w:val="true"/>
        <w:bidi w:val="0"/>
        <w:spacing w:lineRule="auto" w:line="240" w:before="0" w:after="0"/>
        <w:ind w:left="0" w:right="0" w:firstLine="709"/>
        <w:jc w:val="both"/>
        <w:rPr>
          <w:color w:val="000000"/>
        </w:rPr>
      </w:pPr>
      <w:r>
        <w:rPr>
          <w:bCs/>
          <w:color w:val="000000"/>
          <w:sz w:val="28"/>
          <w:szCs w:val="28"/>
        </w:rPr>
        <w:t xml:space="preserve">В указанном нарушении усматриваются признаки административного правонарушения, предусмотренного частью 1.4 статьи 7.30 </w:t>
      </w:r>
      <w:r>
        <w:rPr>
          <w:rFonts w:eastAsia="Calibri" w:cs="Times New Roman"/>
          <w:b w:val="false"/>
          <w:bCs w:val="false"/>
          <w:color w:val="000000"/>
          <w:sz w:val="28"/>
          <w:szCs w:val="28"/>
          <w:lang w:val="x-none" w:eastAsia="en-US"/>
        </w:rPr>
        <w:t>КоАП РФ.</w:t>
      </w:r>
    </w:p>
    <w:p>
      <w:pPr>
        <w:pStyle w:val="Normal"/>
        <w:widowControl/>
        <w:suppressAutoHyphens w:val="true"/>
        <w:bidi w:val="0"/>
        <w:spacing w:lineRule="auto" w:line="240" w:before="0" w:after="0"/>
        <w:ind w:left="0" w:right="0" w:firstLine="680"/>
        <w:jc w:val="both"/>
        <w:rPr/>
      </w:pPr>
      <w:r>
        <w:rPr>
          <w:sz w:val="28"/>
          <w:szCs w:val="28"/>
        </w:rPr>
        <w:t xml:space="preserve">5. </w:t>
      </w:r>
      <w:r>
        <w:rPr>
          <w:bCs/>
          <w:sz w:val="28"/>
          <w:szCs w:val="28"/>
        </w:rPr>
        <w:t xml:space="preserve">В соответствии с частью 3 статьи 103 Закона №44-ФЗ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w:t>
      </w:r>
      <w:r>
        <w:rPr>
          <w:rFonts w:eastAsia="Times New Roman" w:cs="Times New Roman"/>
          <w:bCs/>
          <w:color w:val="000000"/>
          <w:kern w:val="0"/>
          <w:sz w:val="28"/>
          <w:szCs w:val="28"/>
          <w:lang w:val="ru-RU" w:eastAsia="ru-RU" w:bidi="ar-SA"/>
        </w:rPr>
        <w:t>Ф</w:t>
      </w:r>
      <w:r>
        <w:rPr>
          <w:bCs/>
          <w:sz w:val="28"/>
          <w:szCs w:val="28"/>
        </w:rPr>
        <w:t>едеральный орган). При этом, если в соответствии с Законом контракт подписан с использованием ЕИС, информация о заключении направляется в реестр контрактов не позднее трех рабочих дней со дня, следующего за днем подписания контракта.</w:t>
      </w:r>
    </w:p>
    <w:p>
      <w:pPr>
        <w:pStyle w:val="Normal"/>
        <w:widowControl/>
        <w:suppressAutoHyphens w:val="true"/>
        <w:bidi w:val="0"/>
        <w:spacing w:lineRule="auto" w:line="240" w:before="0" w:after="0"/>
        <w:ind w:left="0" w:right="0" w:firstLine="680"/>
        <w:jc w:val="both"/>
        <w:rPr/>
      </w:pPr>
      <w:r>
        <w:rPr>
          <w:bCs/>
          <w:sz w:val="28"/>
          <w:szCs w:val="28"/>
          <w:u w:val="none"/>
        </w:rPr>
        <w:t>Между Заказчиком и</w:t>
      </w:r>
      <w:r>
        <w:rPr>
          <w:bCs/>
          <w:sz w:val="28"/>
          <w:szCs w:val="28"/>
          <w:u w:val="none"/>
          <w:lang w:val="ru-RU"/>
        </w:rPr>
        <w:t xml:space="preserve"> </w:t>
      </w:r>
      <w:r>
        <w:rPr>
          <w:bCs/>
          <w:sz w:val="28"/>
          <w:szCs w:val="28"/>
          <w:u w:val="none"/>
          <w:lang w:val="en-US"/>
        </w:rPr>
        <w:t>ООО «Лед</w:t>
      </w:r>
      <w:r>
        <w:rPr>
          <w:bCs/>
          <w:sz w:val="28"/>
          <w:szCs w:val="28"/>
          <w:u w:val="none"/>
          <w:lang w:val="ru-RU"/>
        </w:rPr>
        <w:t>спа</w:t>
      </w:r>
      <w:r>
        <w:rPr>
          <w:bCs/>
          <w:sz w:val="28"/>
          <w:szCs w:val="28"/>
          <w:u w:val="none"/>
          <w:lang w:val="en-US"/>
        </w:rPr>
        <w:t>р</w:t>
      </w:r>
      <w:r>
        <w:rPr>
          <w:bCs/>
          <w:sz w:val="28"/>
          <w:szCs w:val="28"/>
          <w:u w:val="none"/>
          <w:lang w:val="ru-RU"/>
        </w:rPr>
        <w:t>клинг»</w:t>
      </w:r>
      <w:r>
        <w:rPr>
          <w:bCs/>
          <w:sz w:val="28"/>
          <w:szCs w:val="28"/>
          <w:u w:val="none"/>
          <w:lang w:val="en-US"/>
        </w:rPr>
        <w:t xml:space="preserve"> </w:t>
      </w:r>
      <w:r>
        <w:rPr>
          <w:bCs/>
          <w:sz w:val="28"/>
          <w:szCs w:val="28"/>
          <w:u w:val="none"/>
          <w:lang w:val="ru-RU"/>
        </w:rPr>
        <w:t xml:space="preserve">по результатам проведенного электронного аукциона </w:t>
      </w:r>
      <w:r>
        <w:rPr>
          <w:bCs/>
          <w:sz w:val="28"/>
          <w:szCs w:val="28"/>
          <w:u w:val="none"/>
        </w:rPr>
        <w:t xml:space="preserve">был заключен  Контракт от 25.06.2024 № 32 (далее — Контракт № 1) (электронный контракт, сформированный с использованием ЕИС) на </w:t>
      </w:r>
      <w:r>
        <w:rPr>
          <w:rFonts w:eastAsia="Times New Roman" w:cs="Times New Roman"/>
          <w:bCs/>
          <w:color w:val="000000"/>
          <w:kern w:val="0"/>
          <w:sz w:val="28"/>
          <w:szCs w:val="28"/>
          <w:lang w:val="ru-RU" w:eastAsia="ru-RU" w:bidi="ar-SA"/>
        </w:rPr>
        <w:t xml:space="preserve">поставку светодиодных экранов </w:t>
      </w:r>
      <w:r>
        <w:rPr>
          <w:bCs/>
          <w:sz w:val="28"/>
          <w:szCs w:val="28"/>
        </w:rPr>
        <w:t>c ценой контракта 3 233 750,00 рублей ( реестровый номер контракта -   3235604398824000002) (Приложение № 7).</w:t>
      </w:r>
    </w:p>
    <w:p>
      <w:pPr>
        <w:pStyle w:val="Normal"/>
        <w:widowControl/>
        <w:suppressAutoHyphens w:val="true"/>
        <w:bidi w:val="0"/>
        <w:spacing w:lineRule="auto" w:line="240" w:before="0" w:after="0"/>
        <w:ind w:left="0" w:right="0" w:hanging="0"/>
        <w:jc w:val="both"/>
        <w:rPr/>
      </w:pPr>
      <w:r>
        <w:rPr>
          <w:bCs/>
          <w:sz w:val="28"/>
          <w:szCs w:val="28"/>
        </w:rPr>
        <w:t xml:space="preserve">        </w:t>
      </w:r>
      <w:r>
        <w:rPr>
          <w:bCs/>
          <w:sz w:val="28"/>
          <w:szCs w:val="28"/>
        </w:rPr>
        <w:t>В нарушение требований части 3 статьи 103 Закона № 44-ФЗ Заказчиком</w:t>
      </w:r>
      <w:r>
        <w:rPr>
          <w:bCs/>
          <w:sz w:val="28"/>
          <w:szCs w:val="28"/>
          <w:lang w:val="en-US"/>
        </w:rPr>
        <w:t xml:space="preserve">  (</w:t>
      </w:r>
      <w:r>
        <w:rPr>
          <w:bCs/>
          <w:sz w:val="28"/>
          <w:szCs w:val="28"/>
          <w:lang w:val="ru-RU"/>
        </w:rPr>
        <w:t>документ подписан электронной подписью Мельниковой Е.В.)                  (Приложение № 8)</w:t>
      </w:r>
      <w:r>
        <w:rPr>
          <w:bCs/>
          <w:sz w:val="28"/>
          <w:szCs w:val="28"/>
          <w:lang w:val="en-US"/>
        </w:rPr>
        <w:t xml:space="preserve"> </w:t>
      </w:r>
      <w:r>
        <w:rPr>
          <w:bCs/>
          <w:sz w:val="28"/>
          <w:szCs w:val="28"/>
        </w:rPr>
        <w:t xml:space="preserve">были направлены в Федеральный орган сведения о заключенном Контракте № 1 с нарушением установленного                                 срока - </w:t>
      </w:r>
      <w:r>
        <w:rPr>
          <w:bCs/>
          <w:sz w:val="28"/>
          <w:szCs w:val="28"/>
          <w:lang w:val="en-US"/>
        </w:rPr>
        <w:t>01.</w:t>
      </w:r>
      <w:r>
        <w:rPr>
          <w:rFonts w:eastAsia="Times New Roman" w:cs="Times New Roman"/>
          <w:bCs/>
          <w:color w:val="000000"/>
          <w:kern w:val="0"/>
          <w:sz w:val="28"/>
          <w:szCs w:val="28"/>
          <w:lang w:val="en-US" w:eastAsia="ru-RU" w:bidi="ar-SA"/>
        </w:rPr>
        <w:t>07</w:t>
      </w:r>
      <w:r>
        <w:rPr>
          <w:bCs/>
          <w:sz w:val="28"/>
          <w:szCs w:val="28"/>
          <w:lang w:val="en-US"/>
        </w:rPr>
        <w:t>.2024</w:t>
      </w:r>
      <w:r>
        <w:rPr>
          <w:bCs/>
          <w:sz w:val="28"/>
          <w:szCs w:val="28"/>
        </w:rPr>
        <w:t xml:space="preserve"> года (предельный срок направления — 28.06.2024), </w:t>
      </w:r>
      <w:r>
        <w:rPr>
          <w:rFonts w:eastAsia="Times New Roman" w:cs="Times New Roman"/>
          <w:bCs/>
          <w:color w:val="000000"/>
          <w:kern w:val="0"/>
          <w:sz w:val="28"/>
          <w:szCs w:val="28"/>
          <w:lang w:val="ru-RU" w:eastAsia="ru-RU" w:bidi="ar-SA"/>
        </w:rPr>
        <w:t>что подтверждается</w:t>
      </w:r>
      <w:r>
        <w:rPr>
          <w:bCs/>
          <w:sz w:val="28"/>
          <w:szCs w:val="28"/>
        </w:rPr>
        <w:t xml:space="preserve"> информацией из реестра контрактов, размещенной в ЕИС (Приложение № 9).</w:t>
      </w:r>
    </w:p>
    <w:p>
      <w:pPr>
        <w:pStyle w:val="Normal"/>
        <w:widowControl/>
        <w:suppressAutoHyphens w:val="true"/>
        <w:overflowPunct w:val="true"/>
        <w:bidi w:val="0"/>
        <w:spacing w:lineRule="auto" w:line="240" w:before="0" w:after="0"/>
        <w:ind w:left="0" w:right="0" w:firstLine="73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Аналогичное нарушение допущено при направлении 06.02.2025 года в Федеральный орган информации о заключении муниципального контракта от 24.01.2025 года № 1 (далее — Контракт № 2) (электронный контракт, сформированный с использованием ЕИС) на оказание охранных услуг на  сумму 747 168,00 рублей (реестровый номер контракта-3235604398825000001) (Приложение № 10) (документ подписан электронной подписью Мельниковой Е.В.) (Приложение № 11). </w:t>
      </w:r>
    </w:p>
    <w:p>
      <w:pPr>
        <w:pStyle w:val="Normal"/>
        <w:widowControl/>
        <w:suppressAutoHyphens w:val="true"/>
        <w:overflowPunct w:val="true"/>
        <w:bidi w:val="0"/>
        <w:spacing w:lineRule="auto" w:line="240" w:before="0" w:after="0"/>
        <w:ind w:left="0" w:right="0" w:firstLine="73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В указанных нарушениях усматриваются признаки административного правонарушения, ответственность за которое предусмотрена частью 2 статьи                   7.31 КоАП РФ.</w:t>
      </w:r>
    </w:p>
    <w:p>
      <w:pPr>
        <w:pStyle w:val="Normal"/>
        <w:widowControl/>
        <w:suppressAutoHyphens w:val="true"/>
        <w:overflowPunct w:val="true"/>
        <w:bidi w:val="0"/>
        <w:spacing w:lineRule="auto" w:line="240" w:before="0" w:after="0"/>
        <w:ind w:left="0" w:right="0" w:firstLine="680"/>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Между Заказчиком и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en-US" w:eastAsia="ar-SA" w:bidi="ar-SA"/>
        </w:rPr>
        <w:t xml:space="preserve">ООО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ЧОО «СОКОЛ»</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en-US" w:eastAsia="ar-SA" w:bidi="ar-SA"/>
        </w:rPr>
        <w:t xml:space="preserve">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по результатам проведенного электронного аукциона был заключен  Контракт от 04.03.2024 № 15 (далее — Контракт № 3) на оказание охранных услуг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ru-RU" w:bidi="ar-SA"/>
        </w:rPr>
        <w:t xml:space="preserve">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c ценой                                                    контракта 636 189,10 рублей (реестровый номер - 3235604398824000001)(Приложение № 12).</w:t>
      </w:r>
    </w:p>
    <w:p>
      <w:pPr>
        <w:pStyle w:val="Normal"/>
        <w:widowControl/>
        <w:suppressAutoHyphens w:val="true"/>
        <w:overflowPunct w:val="true"/>
        <w:bidi w:val="0"/>
        <w:spacing w:lineRule="auto" w:line="240" w:before="0" w:after="0"/>
        <w:ind w:left="0" w:right="0" w:firstLine="73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В нарушение требований части 3 статьи 103 Закона № 44-ФЗ  несвоевременно направлена в Федеральный орган информация                                        по Контракту № 3 в отношении платежных поручений: от 11.04.2024 № 1857 (Приложение № 13),   от 14.05.2024 № 2389 (Приложение № 14), от 05.06.2024 № 2914 (Приложение № 15), от 11.07.2024 № 3751 (Приложение № 16),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ru-RU" w:bidi="ar-SA"/>
        </w:rPr>
        <w:t>что подтверждается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 информацией из реестра контрактов, размещенной в ЕИС                  от 16.07.2024 (Приложение № № 17, 18, 19),  от  23.07.2024 (Приложение № 20) (документы подписаны электронной подписью Мельниковой Е.В.).</w:t>
      </w:r>
    </w:p>
    <w:p>
      <w:pPr>
        <w:pStyle w:val="Normal"/>
        <w:widowControl/>
        <w:suppressAutoHyphens w:val="true"/>
        <w:overflowPunct w:val="true"/>
        <w:bidi w:val="0"/>
        <w:spacing w:lineRule="auto" w:line="240" w:before="0" w:after="0"/>
        <w:ind w:left="0" w:right="0" w:firstLine="73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Кроме того, в нарушение части 3 статьи 103 Закона № 44-ФЗ информация о приемке услуг по охране от 01.04.2024 № 30 по Контракту №3 за март             2024 года, подписана Заказчиком 08.04.2024 и  направлена в Федеральный орган с нарушением установленного срока — 07.05.2024 (Приложение №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21</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 (регламентированный срок для направления — не позднее одного рабочего дня со дня, следующего за днем подписания документа о приемке),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ru-RU" w:bidi="ar-SA"/>
        </w:rPr>
        <w:t>что подтверждается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 информацией из реестра контрактов, размещенной в ЕИС (Приложение № 2</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2</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 (документ подписан электронной подписью                 Мельниковой Е.В.).                 </w:t>
      </w:r>
    </w:p>
    <w:p>
      <w:pPr>
        <w:pStyle w:val="Normal"/>
        <w:widowControl/>
        <w:suppressAutoHyphens w:val="true"/>
        <w:overflowPunct w:val="true"/>
        <w:bidi w:val="0"/>
        <w:spacing w:lineRule="auto" w:line="240" w:before="0" w:after="0"/>
        <w:ind w:left="0" w:right="0" w:firstLine="73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В указанных нарушениях усматриваются признаки административного правонарушения, ответственность за которое предусмотрена частью 2 статьи                   7.31 КоАП РФ</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w:t>
      </w:r>
    </w:p>
    <w:p>
      <w:pPr>
        <w:pStyle w:val="Normal"/>
        <w:widowControl/>
        <w:suppressAutoHyphens w:val="true"/>
        <w:overflowPunct w:val="true"/>
        <w:bidi w:val="0"/>
        <w:spacing w:lineRule="auto" w:line="240" w:before="0" w:after="0"/>
        <w:ind w:left="0" w:right="0" w:firstLine="737"/>
        <w:jc w:val="both"/>
        <w:rPr>
          <w:rFonts w:ascii="Times New Roman CYR" w:hAnsi="Times New Roman CYR" w:eastAsia="Times New Roman CYR" w:cs="Times New Roman CYR"/>
          <w:b w:val="false"/>
          <w:b w:val="false"/>
          <w:bCs/>
          <w:i w:val="false"/>
          <w:i w:val="false"/>
          <w:iCs w:val="false"/>
          <w:caps w:val="false"/>
          <w:smallCaps w:val="false"/>
          <w:color w:val="000000"/>
          <w:spacing w:val="0"/>
          <w:kern w:val="0"/>
          <w:sz w:val="28"/>
          <w:szCs w:val="28"/>
          <w:u w:val="none"/>
          <w:lang w:val="ru-RU" w:eastAsia="ru-RU" w:bidi="ar-SA"/>
        </w:rPr>
      </w:pPr>
      <w:r>
        <w:rPr>
          <w:rFonts w:eastAsia="Times New Roman CYR" w:cs="Times New Roman CYR" w:ascii="Times New Roman CYR" w:hAnsi="Times New Roman CYR"/>
          <w:b w:val="false"/>
          <w:bCs/>
          <w:i w:val="false"/>
          <w:iCs w:val="false"/>
          <w:caps w:val="false"/>
          <w:smallCaps w:val="false"/>
          <w:color w:val="000000"/>
          <w:spacing w:val="0"/>
          <w:kern w:val="0"/>
          <w:sz w:val="28"/>
          <w:szCs w:val="28"/>
          <w:u w:val="none"/>
          <w:lang w:val="ru-RU" w:eastAsia="ru-RU" w:bidi="ar-SA"/>
        </w:rPr>
        <w:t>Проверкой установлено, что при  осуществлении закупок, а также при размещении в ЕИС требуемой информации применялась ЭЦП руководителя учреждения (Мельниковой Е.В.), тогда как согласно устным пояснениям руководителя, фактически действия по размещению требуемой информации в ЕИС производились контрактным управляющим (Клименко Е.П.).</w:t>
      </w:r>
    </w:p>
    <w:p>
      <w:pPr>
        <w:pStyle w:val="Normal"/>
        <w:widowControl/>
        <w:suppressAutoHyphens w:val="true"/>
        <w:overflowPunct w:val="true"/>
        <w:bidi w:val="0"/>
        <w:spacing w:lineRule="auto" w:line="240" w:before="0" w:after="0"/>
        <w:ind w:left="0" w:right="0" w:firstLine="737"/>
        <w:jc w:val="both"/>
        <w:rPr>
          <w:rFonts w:ascii="Times New Roman CYR" w:hAnsi="Times New Roman CYR" w:eastAsia="Times New Roman CYR" w:cs="Times New Roman CYR"/>
          <w:b w:val="false"/>
          <w:b w:val="false"/>
          <w:bCs/>
          <w:i w:val="false"/>
          <w:i w:val="false"/>
          <w:iCs w:val="false"/>
          <w:caps w:val="false"/>
          <w:smallCaps w:val="false"/>
          <w:color w:val="000000"/>
          <w:spacing w:val="0"/>
          <w:kern w:val="0"/>
          <w:sz w:val="28"/>
          <w:szCs w:val="28"/>
          <w:u w:val="none"/>
          <w:lang w:val="ru-RU" w:eastAsia="ru-RU" w:bidi="ar-SA"/>
        </w:rPr>
      </w:pPr>
      <w:r>
        <w:rPr>
          <w:rFonts w:eastAsia="Times New Roman CYR" w:cs="Times New Roman CYR" w:ascii="Times New Roman CYR" w:hAnsi="Times New Roman CYR"/>
          <w:b w:val="false"/>
          <w:bCs/>
          <w:i w:val="false"/>
          <w:iCs w:val="false"/>
          <w:caps w:val="false"/>
          <w:smallCaps w:val="false"/>
          <w:color w:val="000000"/>
          <w:spacing w:val="0"/>
          <w:kern w:val="0"/>
          <w:sz w:val="28"/>
          <w:szCs w:val="28"/>
          <w:u w:val="none"/>
          <w:lang w:val="ru-RU" w:eastAsia="ru-RU" w:bidi="ar-SA"/>
        </w:rPr>
      </w:r>
    </w:p>
    <w:p>
      <w:pPr>
        <w:pStyle w:val="Normal"/>
        <w:ind w:left="-567" w:right="0" w:hanging="0"/>
        <w:jc w:val="center"/>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left="0" w:right="0" w:firstLine="567"/>
        <w:jc w:val="both"/>
        <w:rPr/>
      </w:pPr>
      <w:r>
        <w:rPr>
          <w:sz w:val="28"/>
          <w:szCs w:val="28"/>
          <w:lang w:eastAsia="ar-SA"/>
        </w:rPr>
        <w:t xml:space="preserve"> </w:t>
      </w:r>
      <w:r>
        <w:rPr>
          <w:sz w:val="28"/>
          <w:szCs w:val="28"/>
          <w:lang w:eastAsia="ar-SA"/>
        </w:rPr>
        <w:t>В результате проведенной проверки выявлены следующие нарушения, допущенные должностным лицом Заказчика</w:t>
      </w:r>
      <w:r>
        <w:rPr>
          <w:rFonts w:eastAsia="Times New Roman" w:cs="Times New Roman"/>
          <w:color w:val="000000"/>
          <w:kern w:val="0"/>
          <w:sz w:val="28"/>
          <w:szCs w:val="28"/>
          <w:u w:val="none"/>
          <w:lang w:val="ru-RU" w:eastAsia="ar-SA" w:bidi="ar-SA"/>
        </w:rPr>
        <w:t xml:space="preserve"> — директором </w:t>
      </w:r>
      <w:r>
        <w:rPr>
          <w:rFonts w:eastAsia="Times New Roman" w:cs="Times New Roman"/>
          <w:color w:val="000000"/>
          <w:kern w:val="0"/>
          <w:sz w:val="28"/>
          <w:szCs w:val="28"/>
          <w:u w:val="single"/>
          <w:lang w:val="ru-RU" w:eastAsia="ar-SA" w:bidi="ar-SA"/>
        </w:rPr>
        <w:t xml:space="preserve"> </w:t>
      </w:r>
      <w:r>
        <w:rPr>
          <w:rFonts w:eastAsia="Times New Roman" w:cs="Times New Roman"/>
          <w:color w:val="000000"/>
          <w:kern w:val="0"/>
          <w:sz w:val="28"/>
          <w:szCs w:val="28"/>
          <w:u w:val="single"/>
          <w:lang w:val="ru-RU" w:eastAsia="en-US" w:bidi="ar-SA"/>
        </w:rPr>
        <w:t>МБУК «МРДК «Кубань»</w:t>
      </w:r>
      <w:r>
        <w:rPr>
          <w:rFonts w:eastAsia="Times New Roman" w:cs="Times New Roman"/>
          <w:color w:val="000000"/>
          <w:kern w:val="0"/>
          <w:sz w:val="28"/>
          <w:szCs w:val="28"/>
          <w:u w:val="single"/>
          <w:lang w:val="ru-RU" w:eastAsia="ar-SA" w:bidi="ar-SA"/>
        </w:rPr>
        <w:t xml:space="preserve"> Мельниковой Е.В.</w:t>
      </w:r>
      <w:r>
        <w:rPr>
          <w:rFonts w:eastAsia="Times New Roman" w:cs="Times New Roman"/>
          <w:color w:val="000000"/>
          <w:kern w:val="0"/>
          <w:sz w:val="28"/>
          <w:szCs w:val="28"/>
          <w:u w:val="single"/>
          <w:lang w:val="ru-RU" w:eastAsia="en-US" w:bidi="ar-SA"/>
        </w:rPr>
        <w:t>:</w:t>
      </w:r>
    </w:p>
    <w:p>
      <w:pPr>
        <w:pStyle w:val="Normal"/>
        <w:widowControl/>
        <w:suppressAutoHyphens w:val="true"/>
        <w:bidi w:val="0"/>
        <w:spacing w:lineRule="auto" w:line="240" w:before="0" w:after="0"/>
        <w:ind w:left="0" w:right="0" w:firstLine="737"/>
        <w:jc w:val="both"/>
        <w:rPr/>
      </w:pPr>
      <w:r>
        <w:rPr>
          <w:bCs/>
          <w:sz w:val="28"/>
          <w:szCs w:val="28"/>
        </w:rPr>
        <w:t xml:space="preserve">- </w:t>
      </w:r>
      <w:r>
        <w:rPr>
          <w:sz w:val="28"/>
          <w:szCs w:val="28"/>
          <w:lang w:eastAsia="ar-SA"/>
        </w:rPr>
        <w:t>нарушение</w:t>
      </w:r>
      <w:r>
        <w:rPr>
          <w:sz w:val="28"/>
          <w:szCs w:val="28"/>
        </w:rPr>
        <w:t xml:space="preserve"> пункта 4 части 1 статьи 93 </w:t>
      </w:r>
      <w:r>
        <w:rPr>
          <w:rFonts w:cs="Calibri"/>
          <w:sz w:val="28"/>
          <w:szCs w:val="28"/>
          <w:lang w:eastAsia="ar-SA"/>
        </w:rPr>
        <w:t>Закона № 44-ФЗ,</w:t>
      </w:r>
      <w:r>
        <w:rPr>
          <w:sz w:val="28"/>
          <w:szCs w:val="28"/>
          <w:lang w:eastAsia="ar-SA"/>
        </w:rPr>
        <w:t xml:space="preserve"> выразившееся в неверном принятии решения о способе определения поставщика (подрядчика, исполнителя) в 2024 году.</w:t>
      </w:r>
    </w:p>
    <w:p>
      <w:pPr>
        <w:pStyle w:val="Normal"/>
        <w:widowControl/>
        <w:suppressAutoHyphens w:val="true"/>
        <w:bidi w:val="0"/>
        <w:spacing w:lineRule="auto" w:line="240" w:before="0" w:after="0"/>
        <w:ind w:left="0" w:right="0" w:firstLine="737"/>
        <w:jc w:val="both"/>
        <w:rPr/>
      </w:pPr>
      <w:r>
        <w:rPr>
          <w:rFonts w:eastAsia="Times New Roman" w:cs="Times New Roman"/>
          <w:bCs/>
          <w:color w:val="000000"/>
          <w:kern w:val="0"/>
          <w:sz w:val="28"/>
          <w:szCs w:val="28"/>
          <w:u w:val="none"/>
          <w:lang w:val="ru-RU" w:eastAsia="ar-SA" w:bidi="ar-SA"/>
        </w:rPr>
        <w:t>Указанное нарушение содержит признаки административного правонарушения, ответственность за которое предусмотрена частью 1 статьи 7.29 КоАП РФ;</w:t>
      </w:r>
    </w:p>
    <w:p>
      <w:pPr>
        <w:pStyle w:val="Normal"/>
        <w:widowControl/>
        <w:suppressAutoHyphens w:val="true"/>
        <w:bidi w:val="0"/>
        <w:spacing w:lineRule="auto" w:line="240" w:before="0" w:after="0"/>
        <w:ind w:left="0" w:right="0" w:firstLine="567"/>
        <w:jc w:val="both"/>
        <w:rPr/>
      </w:pPr>
      <w:r>
        <w:rPr/>
        <w:t>-</w:t>
      </w:r>
      <w:r>
        <w:rPr>
          <w:rFonts w:eastAsia="Times New Roman CYR" w:cs="Times New Roman CYR" w:ascii="Times New Roman CYR" w:hAnsi="Times New Roman CYR"/>
          <w:b w:val="false"/>
          <w:bCs/>
          <w:color w:val="000000"/>
          <w:kern w:val="0"/>
          <w:sz w:val="28"/>
          <w:szCs w:val="28"/>
          <w:u w:val="none"/>
          <w:lang w:val="ru-RU" w:eastAsia="en-US" w:bidi="ar-SA"/>
        </w:rPr>
        <w:t xml:space="preserve"> нарушения части 3 статьи 103 Закона № 44-ФЗ, выразившиеся:</w:t>
      </w:r>
    </w:p>
    <w:p>
      <w:pPr>
        <w:pStyle w:val="Normal"/>
        <w:widowControl/>
        <w:suppressAutoHyphens w:val="true"/>
        <w:bidi w:val="0"/>
        <w:spacing w:lineRule="auto" w:line="240" w:before="0" w:after="0"/>
        <w:ind w:left="0" w:right="0" w:firstLine="567"/>
        <w:jc w:val="both"/>
        <w:rPr/>
      </w:pPr>
      <w:r>
        <w:rPr>
          <w:rFonts w:eastAsia="Times New Roman CYR" w:cs="Times New Roman CYR" w:ascii="Times New Roman CYR" w:hAnsi="Times New Roman CYR"/>
          <w:b w:val="false"/>
          <w:bCs/>
          <w:color w:val="000000"/>
          <w:kern w:val="0"/>
          <w:sz w:val="28"/>
          <w:szCs w:val="28"/>
          <w:u w:val="none"/>
          <w:lang w:val="ru-RU" w:eastAsia="en-US" w:bidi="ar-SA"/>
        </w:rPr>
        <w:t xml:space="preserve">1) в  несвоевременном направлении в Федеральный орган сведений о заключенных Контрактах №№ 1, 2; </w:t>
      </w:r>
    </w:p>
    <w:p>
      <w:pPr>
        <w:pStyle w:val="Normal"/>
        <w:widowControl/>
        <w:suppressAutoHyphens w:val="true"/>
        <w:bidi w:val="0"/>
        <w:spacing w:lineRule="auto" w:line="240" w:before="0" w:after="0"/>
        <w:ind w:left="0" w:right="0" w:firstLine="567"/>
        <w:jc w:val="both"/>
        <w:rPr/>
      </w:pPr>
      <w:r>
        <w:rPr>
          <w:rFonts w:eastAsia="Times New Roman CYR" w:cs="Times New Roman CYR" w:ascii="Times New Roman CYR" w:hAnsi="Times New Roman CYR"/>
          <w:b w:val="false"/>
          <w:bCs/>
          <w:i w:val="false"/>
          <w:iCs w:val="false"/>
          <w:caps w:val="false"/>
          <w:smallCaps w:val="false"/>
          <w:color w:val="000000"/>
          <w:spacing w:val="0"/>
          <w:kern w:val="0"/>
          <w:sz w:val="28"/>
          <w:szCs w:val="28"/>
          <w:u w:val="none"/>
          <w:lang w:val="ru-RU" w:eastAsia="en-US" w:bidi="ar-SA"/>
        </w:rPr>
        <w:t xml:space="preserve">2)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в </w:t>
      </w:r>
      <w:r>
        <w:rPr>
          <w:rFonts w:eastAsia="Times New Roman CYR" w:cs="Times New Roman CYR" w:ascii="Times New Roman CYR" w:hAnsi="Times New Roman CYR"/>
          <w:b w:val="false"/>
          <w:bCs/>
          <w:i w:val="false"/>
          <w:iCs w:val="false"/>
          <w:caps w:val="false"/>
          <w:smallCaps w:val="false"/>
          <w:color w:val="000000"/>
          <w:spacing w:val="0"/>
          <w:kern w:val="0"/>
          <w:sz w:val="28"/>
          <w:szCs w:val="28"/>
          <w:u w:val="none"/>
          <w:lang w:val="ru-RU" w:eastAsia="en-US" w:bidi="ar-SA"/>
        </w:rPr>
        <w:t xml:space="preserve">несвоевременном направлении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информации в Федеральный орган об исполнении   Контракта № 3 (в отношении 4-х платежных поручений и акта приемки).</w:t>
      </w:r>
    </w:p>
    <w:p>
      <w:pPr>
        <w:pStyle w:val="Normal"/>
        <w:widowControl/>
        <w:suppressAutoHyphens w:val="true"/>
        <w:bidi w:val="0"/>
        <w:spacing w:lineRule="auto" w:line="240" w:before="0" w:after="0"/>
        <w:ind w:left="0" w:right="0" w:firstLine="56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Указанные нарушения содержат признаки административного правонарушения, ответственность за которые предусмотрена частью 2 статьи 7.31 КоАП РФ.</w:t>
      </w:r>
    </w:p>
    <w:p>
      <w:pPr>
        <w:pStyle w:val="Normal"/>
        <w:widowControl/>
        <w:suppressAutoHyphens w:val="true"/>
        <w:bidi w:val="0"/>
        <w:spacing w:lineRule="auto" w:line="240" w:before="0" w:after="0"/>
        <w:ind w:left="0" w:right="0" w:firstLine="567"/>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bidi="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r>
    </w:p>
    <w:p>
      <w:pPr>
        <w:pStyle w:val="Normal"/>
        <w:widowControl/>
        <w:suppressAutoHyphens w:val="true"/>
        <w:bidi w:val="0"/>
        <w:spacing w:lineRule="auto" w:line="240" w:before="0" w:after="0"/>
        <w:ind w:left="0" w:right="170" w:hanging="0"/>
        <w:jc w:val="center"/>
        <w:rPr/>
      </w:pPr>
      <w:r>
        <w:rPr>
          <w:bCs/>
          <w:sz w:val="28"/>
          <w:szCs w:val="28"/>
        </w:rPr>
        <w:t xml:space="preserve">По результатам проведенной проверки </w:t>
      </w:r>
      <w:r>
        <w:rPr>
          <w:rFonts w:eastAsia="Times New Roman" w:cs="Times New Roman"/>
          <w:bCs/>
          <w:color w:val="000000"/>
          <w:kern w:val="0"/>
          <w:sz w:val="28"/>
          <w:szCs w:val="28"/>
          <w:lang w:val="ru-RU" w:eastAsia="ru-RU" w:bidi="ar-SA"/>
        </w:rPr>
        <w:t>ПРИНЯТО РЕШЕНИЕ</w:t>
      </w:r>
      <w:r>
        <w:rPr>
          <w:bCs/>
          <w:sz w:val="28"/>
          <w:szCs w:val="28"/>
        </w:rPr>
        <w:t>:</w:t>
      </w:r>
    </w:p>
    <w:p>
      <w:pPr>
        <w:pStyle w:val="Normal"/>
        <w:widowControl/>
        <w:suppressAutoHyphens w:val="true"/>
        <w:bidi w:val="0"/>
        <w:spacing w:lineRule="auto" w:line="240" w:before="0" w:after="0"/>
        <w:ind w:left="0" w:right="170" w:firstLine="62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 направить копию акта проверки </w:t>
      </w:r>
      <w:r>
        <w:rPr>
          <w:rFonts w:eastAsia="Times New Roman" w:cs="Times New Roman"/>
          <w:bCs/>
          <w:color w:val="000000"/>
          <w:kern w:val="0"/>
          <w:sz w:val="28"/>
          <w:szCs w:val="28"/>
          <w:u w:val="none"/>
          <w:lang w:val="ru-RU" w:eastAsia="ar-SA" w:bidi="ar-SA"/>
        </w:rPr>
        <w:t>Мельниковой Е.В.</w:t>
      </w:r>
      <w:r>
        <w:rPr>
          <w:sz w:val="28"/>
          <w:szCs w:val="28"/>
          <w:u w:val="none"/>
          <w:lang w:eastAsia="en-US"/>
        </w:rPr>
        <w:t xml:space="preserve"> </w:t>
      </w:r>
      <w:r>
        <w:rPr>
          <w:bCs/>
          <w:sz w:val="28"/>
          <w:szCs w:val="28"/>
          <w:u w:val="none"/>
        </w:rPr>
        <w:t xml:space="preserve">– директору </w:t>
      </w:r>
      <w:r>
        <w:rPr>
          <w:rFonts w:eastAsia="Times New Roman" w:cs="Times New Roman"/>
          <w:b w:val="false"/>
          <w:bCs w:val="false"/>
          <w:i w:val="false"/>
          <w:caps w:val="false"/>
          <w:smallCaps w:val="false"/>
          <w:color w:val="000000"/>
          <w:spacing w:val="0"/>
          <w:kern w:val="0"/>
          <w:sz w:val="28"/>
          <w:szCs w:val="28"/>
          <w:u w:val="none"/>
          <w:lang w:val="ru-RU" w:eastAsia="ar-SA" w:bidi="ar-SA"/>
        </w:rPr>
        <w:t xml:space="preserve"> </w:t>
      </w:r>
      <w:r>
        <w:rPr>
          <w:rFonts w:eastAsia="Times New Roman" w:cs="Times New Roman"/>
          <w:b w:val="false"/>
          <w:bCs/>
          <w:i w:val="false"/>
          <w:caps w:val="false"/>
          <w:smallCaps w:val="false"/>
          <w:color w:val="000000"/>
          <w:spacing w:val="0"/>
          <w:kern w:val="0"/>
          <w:sz w:val="28"/>
          <w:szCs w:val="28"/>
          <w:u w:val="none"/>
          <w:lang w:val="ru-RU" w:eastAsia="en-US" w:bidi="ar-SA"/>
        </w:rPr>
        <w:t>МБУК «МРДК «Кубань»;</w:t>
      </w:r>
    </w:p>
    <w:p>
      <w:pPr>
        <w:pStyle w:val="Normal"/>
        <w:widowControl/>
        <w:suppressAutoHyphens w:val="true"/>
        <w:bidi w:val="0"/>
        <w:spacing w:lineRule="auto" w:line="240" w:before="0" w:after="0"/>
        <w:ind w:left="0" w:right="0" w:firstLine="624"/>
        <w:jc w:val="both"/>
        <w:rPr>
          <w:bCs/>
          <w:color w:val="000000"/>
          <w:sz w:val="28"/>
          <w:szCs w:val="28"/>
          <w:u w:val="none"/>
          <w:lang w:eastAsia="ar-SA"/>
        </w:rPr>
      </w:pPr>
      <w:r>
        <w:rPr>
          <w:bCs/>
          <w:color w:val="000000"/>
          <w:sz w:val="28"/>
          <w:szCs w:val="28"/>
          <w:u w:val="none"/>
          <w:lang w:eastAsia="ar-SA"/>
        </w:rPr>
        <w:t xml:space="preserve">- направить в министерство экономики Краснодарского края </w:t>
      </w:r>
      <w:r>
        <w:rPr>
          <w:rFonts w:eastAsia="Times New Roman" w:cs="Times New Roman"/>
          <w:bCs/>
          <w:color w:val="000000"/>
          <w:kern w:val="0"/>
          <w:sz w:val="28"/>
          <w:szCs w:val="28"/>
          <w:u w:val="none"/>
          <w:lang w:val="ru-RU" w:eastAsia="ar-SA" w:bidi="ar-SA"/>
        </w:rPr>
        <w:t>материалы</w:t>
      </w:r>
      <w:r>
        <w:rPr>
          <w:bCs/>
          <w:color w:val="000000"/>
          <w:sz w:val="28"/>
          <w:szCs w:val="28"/>
          <w:u w:val="none"/>
          <w:lang w:eastAsia="ar-SA"/>
        </w:rPr>
        <w:t xml:space="preserve"> проверки </w:t>
      </w:r>
      <w:r>
        <w:rPr>
          <w:rFonts w:eastAsia="Times New Roman" w:cs="Times New Roman"/>
          <w:bCs/>
          <w:color w:val="000000"/>
          <w:kern w:val="0"/>
          <w:sz w:val="28"/>
          <w:szCs w:val="28"/>
          <w:u w:val="none"/>
          <w:lang w:val="ru-RU" w:eastAsia="ar-SA" w:bidi="ar-SA"/>
        </w:rPr>
        <w:t>с</w:t>
      </w:r>
      <w:r>
        <w:rPr>
          <w:bCs/>
          <w:color w:val="000000"/>
          <w:sz w:val="28"/>
          <w:szCs w:val="28"/>
          <w:u w:val="none"/>
          <w:lang w:eastAsia="ar-SA"/>
        </w:rPr>
        <w:t xml:space="preserve"> копи</w:t>
      </w:r>
      <w:r>
        <w:rPr>
          <w:rFonts w:eastAsia="Times New Roman" w:cs="Times New Roman"/>
          <w:bCs/>
          <w:color w:val="000000"/>
          <w:kern w:val="0"/>
          <w:sz w:val="28"/>
          <w:szCs w:val="28"/>
          <w:u w:val="none"/>
          <w:lang w:val="ru-RU" w:eastAsia="ar-SA" w:bidi="ar-SA"/>
        </w:rPr>
        <w:t>ями</w:t>
      </w:r>
      <w:r>
        <w:rPr>
          <w:bCs/>
          <w:color w:val="000000"/>
          <w:sz w:val="28"/>
          <w:szCs w:val="28"/>
          <w:u w:val="none"/>
          <w:lang w:eastAsia="ar-SA"/>
        </w:rPr>
        <w:t xml:space="preserve"> подтверждающих документов по фактам выявленных нарушени</w:t>
      </w:r>
      <w:r>
        <w:rPr>
          <w:rFonts w:eastAsia="Times New Roman" w:cs="Times New Roman"/>
          <w:bCs/>
          <w:color w:val="000000"/>
          <w:kern w:val="0"/>
          <w:sz w:val="28"/>
          <w:szCs w:val="28"/>
          <w:u w:val="none"/>
          <w:lang w:val="ru-RU" w:eastAsia="ar-SA" w:bidi="ar-SA"/>
        </w:rPr>
        <w:t>й</w:t>
      </w:r>
      <w:r>
        <w:rPr>
          <w:bCs/>
          <w:color w:val="000000"/>
          <w:sz w:val="28"/>
          <w:szCs w:val="28"/>
          <w:u w:val="none"/>
          <w:lang w:eastAsia="ar-SA"/>
        </w:rPr>
        <w:t>, содержащ</w:t>
      </w:r>
      <w:r>
        <w:rPr>
          <w:rFonts w:eastAsia="Times New Roman" w:cs="Times New Roman"/>
          <w:bCs/>
          <w:color w:val="000000"/>
          <w:kern w:val="0"/>
          <w:sz w:val="28"/>
          <w:szCs w:val="28"/>
          <w:u w:val="none"/>
          <w:lang w:val="ru-RU" w:eastAsia="ar-SA" w:bidi="ar-SA"/>
        </w:rPr>
        <w:t>их</w:t>
      </w:r>
      <w:r>
        <w:rPr>
          <w:bCs/>
          <w:color w:val="000000"/>
          <w:sz w:val="28"/>
          <w:szCs w:val="28"/>
          <w:u w:val="none"/>
          <w:lang w:eastAsia="ar-SA"/>
        </w:rPr>
        <w:t xml:space="preserve"> признаки административн</w:t>
      </w:r>
      <w:r>
        <w:rPr>
          <w:rFonts w:eastAsia="Times New Roman" w:cs="Times New Roman"/>
          <w:bCs/>
          <w:color w:val="000000"/>
          <w:kern w:val="0"/>
          <w:sz w:val="28"/>
          <w:szCs w:val="28"/>
          <w:u w:val="none"/>
          <w:lang w:val="ru-RU" w:eastAsia="ar-SA" w:bidi="ar-SA"/>
        </w:rPr>
        <w:t>ого</w:t>
      </w:r>
      <w:r>
        <w:rPr>
          <w:bCs/>
          <w:color w:val="000000"/>
          <w:sz w:val="28"/>
          <w:szCs w:val="28"/>
          <w:u w:val="none"/>
          <w:lang w:eastAsia="ar-SA"/>
        </w:rPr>
        <w:t xml:space="preserve"> правонарушения, ответственность за которые предусмотрена: частью </w:t>
      </w:r>
      <w:r>
        <w:rPr>
          <w:rFonts w:eastAsia="Times New Roman"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1 статьи 7.29</w:t>
      </w:r>
      <w:r>
        <w:rPr>
          <w:rFonts w:eastAsia="Times New Roman" w:cs="Times New Roman"/>
          <w:bCs/>
          <w:color w:val="000000"/>
          <w:kern w:val="0"/>
          <w:sz w:val="28"/>
          <w:szCs w:val="28"/>
          <w:u w:val="none"/>
          <w:lang w:val="ru-RU" w:eastAsia="ar-SA" w:bidi="ar-SA"/>
        </w:rPr>
        <w:t xml:space="preserve"> КоАП РФ</w:t>
      </w:r>
      <w:r>
        <w:rPr>
          <w:bCs/>
          <w:color w:val="000000"/>
          <w:sz w:val="28"/>
          <w:szCs w:val="28"/>
          <w:u w:val="none"/>
          <w:lang w:eastAsia="ar-SA"/>
        </w:rPr>
        <w:t xml:space="preserve">,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частью 2 статьи 7.31 КоАП РФ</w:t>
      </w:r>
      <w:r>
        <w:rPr>
          <w:bCs/>
          <w:color w:val="000000"/>
          <w:sz w:val="28"/>
          <w:szCs w:val="28"/>
          <w:u w:val="none"/>
          <w:lang w:eastAsia="ar-SA"/>
        </w:rPr>
        <w:t>.</w:t>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000000"/>
          <w:kern w:val="0"/>
          <w:sz w:val="28"/>
          <w:szCs w:val="28"/>
          <w:lang w:val="ru-RU" w:eastAsia="ru-RU" w:bidi="ar-SA"/>
        </w:rPr>
        <w:t>12</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tabs>
          <w:tab w:val="clear" w:pos="408"/>
          <w:tab w:val="left" w:pos="-264" w:leader="none"/>
        </w:tabs>
        <w:ind w:left="-426" w:right="141" w:firstLine="709"/>
        <w:jc w:val="both"/>
        <w:rPr/>
      </w:pPr>
      <w:r>
        <w:rPr>
          <w:bCs/>
          <w:sz w:val="28"/>
          <w:szCs w:val="28"/>
          <w:lang w:eastAsia="en-US"/>
        </w:rPr>
        <w:t>Член комиссии                                                                Е.А. Рындина</w:t>
      </w:r>
    </w:p>
    <w:sectPr>
      <w:headerReference w:type="default" r:id="rId2"/>
      <w:type w:val="nextPage"/>
      <w:pgSz w:w="11906" w:h="16838"/>
      <w:pgMar w:left="1134" w:right="1134" w:header="1134" w:top="1693"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12</w:t>
    </w:r>
    <w:r>
      <w:rPr/>
      <w:fldChar w:fldCharType="end"/>
    </w:r>
  </w:p>
</w:hdr>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character" w:styleId="Style17">
    <w:name w:val="Основной шрифт абзаца"/>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3">
    <w:name w:val="Верхний и нижний колонтитулы"/>
    <w:basedOn w:val="Normal"/>
    <w:qFormat/>
    <w:pPr/>
    <w:rPr/>
  </w:style>
  <w:style w:type="paragraph" w:styleId="Style24">
    <w:name w:val="Header"/>
    <w:basedOn w:val="Normal"/>
    <w:pPr>
      <w:tabs>
        <w:tab w:val="clear" w:pos="408"/>
        <w:tab w:val="center" w:pos="4677" w:leader="none"/>
        <w:tab w:val="right" w:pos="9355" w:leader="none"/>
      </w:tabs>
    </w:pPr>
    <w:rPr/>
  </w:style>
  <w:style w:type="paragraph" w:styleId="Style25">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85877</TotalTime>
  <Application>LibreOffice/6.4.4.2$Windows_X86_64 LibreOffice_project/3d775be2011f3886db32dfd395a6a6d1ca2630ff</Application>
  <Pages>12</Pages>
  <Words>3780</Words>
  <Characters>24200</Characters>
  <CharactersWithSpaces>29489</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GLSPEC</dc:creator>
  <dc:description/>
  <dc:language>ru-RU</dc:language>
  <cp:lastModifiedBy/>
  <cp:lastPrinted>2025-03-03T16:43:28Z</cp:lastPrinted>
  <dcterms:modified xsi:type="dcterms:W3CDTF">2025-03-03T16:42:35Z</dcterms:modified>
  <cp:revision>526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