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D" w:rsidRDefault="00F8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</w:p>
    <w:p w:rsidR="007F573D" w:rsidRDefault="00F8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информация:</w:t>
      </w: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Регулирующий орган: </w:t>
      </w:r>
    </w:p>
    <w:p w:rsidR="007F573D" w:rsidRDefault="00F8490A">
      <w:pPr>
        <w:spacing w:after="0" w:line="240" w:lineRule="auto"/>
        <w:ind w:firstLine="567"/>
        <w:jc w:val="both"/>
      </w:pPr>
      <w:bookmarkStart w:id="0" w:name="__DdeLink__568_6671875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вопросам ЖКХ, транспорта, энергообеспечения и связи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Вид и наименование проекта муниципального нормативного правового акта:</w:t>
      </w:r>
    </w:p>
    <w:p w:rsidR="007F573D" w:rsidRDefault="00F8490A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21 марта 2017 года №</w:t>
      </w:r>
      <w:r w:rsidR="0041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proofErr w:type="gramEnd"/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Предполагаемая дата вступления в силу муниципального нормативно-правового акта: </w:t>
      </w:r>
      <w:r w:rsidR="00C87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Краткое описание проблемы, на решение которой направлено предлагаемое правовое регулирование:</w:t>
      </w: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шкалы критериев оценки сопоставления заявок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Краткое описание целей предлагаемого правового регулирования:</w:t>
      </w: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использование шкалы критериев оценки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сопоставления заявок на участие в открытом конкурсе на право получения свидетельства об 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по одному или нескольким муниципальным маршрутам регулярных перевозок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Краткое описание содержания предлагаемого правового регулирования:</w:t>
      </w: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изменения уточняют срок при оценке критериев оценки учитывающих опыт осуществления регулярных перевозок и максимальный срок эксплуатации транспортных средств.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1.6.1. Степень регулирующего воздействия: </w:t>
      </w:r>
      <w:r>
        <w:rPr>
          <w:rFonts w:ascii="Times New Roman" w:hAnsi="Times New Roman"/>
          <w:sz w:val="28"/>
          <w:szCs w:val="28"/>
        </w:rPr>
        <w:t>низкая</w:t>
      </w:r>
      <w:r w:rsidR="007278C9">
        <w:rPr>
          <w:rFonts w:ascii="Times New Roman" w:hAnsi="Times New Roman"/>
          <w:sz w:val="28"/>
          <w:szCs w:val="28"/>
        </w:rPr>
        <w:t>.</w:t>
      </w:r>
    </w:p>
    <w:p w:rsidR="00DC66AE" w:rsidRDefault="00F849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степени регулирующего воздействия:</w:t>
      </w:r>
      <w:r w:rsidR="0043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содержит положений, устанавливающие новые обязанности для субъектов предпринимательской и инвестиционной деятельности, и положений, изменяющих ранее предусмотренные муниципальным нормативным правовым актом обязанности для субъектов предпринимательской и инвестиционной деятельности, однако подлежит оценке регулирующего воздействия по общим основаниям.</w:t>
      </w:r>
    </w:p>
    <w:p w:rsidR="007F573D" w:rsidRDefault="00F849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1.7. Контактная информация исполнителя в регулирующем органе: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Юрьевна. Должность: начальник отдела по вопросам ЖКХ, транспорта, энергообеспечения и связи. Тел. 8(86135)5-15-52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Описание проблемы, на решение которой направлено предлагаемое правовое регулирование:</w:t>
      </w: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Формулировка проблемы: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согласно действующего постановления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для целей определения количества баллов присуждаемых по критерию «Опыт осуществления регулярных перевозок» и «Максимальный срок эксплуатации транспортных средств», установленная градация  допускает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неоднозначное толкование при оценке заявок участников открытого конкурса.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марта 2021 года.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Субъекты общественных отношений, заинтересованные в устранении проблемы, их количественная оценка: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предприниматели.</w:t>
      </w:r>
    </w:p>
    <w:p w:rsidR="007F573D" w:rsidRDefault="007F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требуется, так как проект НПА  уточняет градацию, для недопущения неоднозначного толкования при оценке заявок участников открытого конкурса, не затрагивая бальную систему.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7F573D" w:rsidRDefault="007F573D">
      <w:pPr>
        <w:jc w:val="both"/>
        <w:rPr>
          <w:sz w:val="28"/>
          <w:szCs w:val="28"/>
        </w:rPr>
      </w:pPr>
    </w:p>
    <w:p w:rsidR="007F573D" w:rsidRDefault="00F8490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район: </w:t>
      </w:r>
      <w:r>
        <w:rPr>
          <w:rFonts w:ascii="Times New Roman" w:hAnsi="Times New Roman"/>
          <w:sz w:val="28"/>
          <w:szCs w:val="28"/>
        </w:rPr>
        <w:t>отсутствуют</w:t>
      </w:r>
    </w:p>
    <w:p w:rsidR="007F573D" w:rsidRDefault="00F849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2.7. Опыт решения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  <w:r>
        <w:rPr>
          <w:rFonts w:ascii="Times New Roman" w:hAnsi="Times New Roman"/>
          <w:sz w:val="28"/>
          <w:szCs w:val="28"/>
        </w:rPr>
        <w:t>нет</w:t>
      </w:r>
    </w:p>
    <w:p w:rsidR="007F573D" w:rsidRDefault="007F573D">
      <w:pPr>
        <w:jc w:val="both"/>
        <w:rPr>
          <w:rFonts w:ascii="Times New Roman" w:hAnsi="Times New Roman"/>
          <w:sz w:val="28"/>
          <w:szCs w:val="28"/>
        </w:rPr>
      </w:pPr>
    </w:p>
    <w:p w:rsidR="007F573D" w:rsidRDefault="00F849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2.8. Источники данных: </w:t>
      </w:r>
      <w:r>
        <w:rPr>
          <w:rFonts w:ascii="Times New Roman" w:hAnsi="Times New Roman"/>
          <w:sz w:val="28"/>
          <w:szCs w:val="28"/>
        </w:rPr>
        <w:t>нет</w:t>
      </w:r>
    </w:p>
    <w:p w:rsidR="007F573D" w:rsidRDefault="00F8490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2.9. Иная информация о проблеме: </w:t>
      </w:r>
      <w:r>
        <w:rPr>
          <w:rFonts w:ascii="Times New Roman" w:hAnsi="Times New Roman"/>
          <w:sz w:val="28"/>
          <w:szCs w:val="28"/>
        </w:rPr>
        <w:t>нет</w:t>
      </w:r>
    </w:p>
    <w:p w:rsidR="007F573D" w:rsidRDefault="007F57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Определение целей предлагаемого правового регулирования и индикаторов для оценки их достижения:</w:t>
      </w:r>
    </w:p>
    <w:tbl>
      <w:tblPr>
        <w:tblW w:w="9613" w:type="dxa"/>
        <w:tblInd w:w="-13" w:type="dxa"/>
        <w:tblCellMar>
          <w:left w:w="62" w:type="dxa"/>
          <w:right w:w="62" w:type="dxa"/>
        </w:tblCellMar>
        <w:tblLook w:val="04A0"/>
      </w:tblPr>
      <w:tblGrid>
        <w:gridCol w:w="2936"/>
        <w:gridCol w:w="3062"/>
        <w:gridCol w:w="3615"/>
      </w:tblGrid>
      <w:tr w:rsidR="007F573D"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3.1.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Сроки достижения целей предлагаемого правового регулирования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7F573D"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шкалы критериев оценки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сопоставления заявок на участие в открытом конкурсе на право получения свидетельства об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перевозок по одному или нескольким муниципальным маршрутам регулярных перевозок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даты вступления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силу муниципального нормативного правового акта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мониторинге достижения цели не нуждается</w:t>
            </w:r>
          </w:p>
        </w:tc>
      </w:tr>
    </w:tbl>
    <w:p w:rsidR="007F573D" w:rsidRDefault="007F57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7F573D" w:rsidRDefault="00F849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протест Прокуратуры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от 29 марта 2021г.</w:t>
      </w:r>
    </w:p>
    <w:p w:rsidR="007F573D" w:rsidRDefault="007F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7F57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Mar>
          <w:left w:w="62" w:type="dxa"/>
          <w:right w:w="62" w:type="dxa"/>
        </w:tblCellMar>
        <w:tblLook w:val="04A0"/>
      </w:tblPr>
      <w:tblGrid>
        <w:gridCol w:w="2328"/>
        <w:gridCol w:w="2971"/>
        <w:gridCol w:w="1895"/>
        <w:gridCol w:w="2406"/>
      </w:tblGrid>
      <w:tr w:rsidR="007F573D"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3.5.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3.7.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Единица измерения индикаторов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Целевые значения индикаторов по годам</w:t>
            </w:r>
          </w:p>
        </w:tc>
      </w:tr>
      <w:tr w:rsidR="007F573D"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шкалы критериев оценки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сопоставления заявок на участие в открытом конкурсе на право получения свидетельства об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перевозок по одному или нескольким муниципальным маршрутам регулярных перевозок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 w:line="240" w:lineRule="auto"/>
              <w:ind w:firstLine="5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21 марта 2017 года №293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proofErr w:type="gram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Принято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/не принято постановление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апрель 2021 года</w:t>
            </w:r>
          </w:p>
        </w:tc>
      </w:tr>
    </w:tbl>
    <w:p w:rsidR="007F573D" w:rsidRDefault="007F573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отсутствуют.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3.10.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Оценка затрат на проведение мониторинга достижения целей предлагаемого правового регулирования: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дополнительные затраты не потребуются.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0" w:type="dxa"/>
        <w:tblCellMar>
          <w:left w:w="62" w:type="dxa"/>
          <w:right w:w="62" w:type="dxa"/>
        </w:tblCellMar>
        <w:tblLook w:val="04A0"/>
      </w:tblPr>
      <w:tblGrid>
        <w:gridCol w:w="5508"/>
        <w:gridCol w:w="2369"/>
        <w:gridCol w:w="1723"/>
      </w:tblGrid>
      <w:tr w:rsidR="007F573D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4.2.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участников группы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4.3.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Источники данных</w:t>
            </w:r>
          </w:p>
        </w:tc>
      </w:tr>
      <w:tr w:rsidR="007F573D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ограничено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F573D" w:rsidRDefault="007F573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73D" w:rsidRDefault="00F8490A">
      <w:pPr>
        <w:spacing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Изменение функций (полномочий, обязанностей, прав) органов местного самоуправления муниципального образования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840" w:type="dxa"/>
        <w:tblCellMar>
          <w:left w:w="62" w:type="dxa"/>
          <w:right w:w="62" w:type="dxa"/>
        </w:tblCellMar>
        <w:tblLook w:val="04A0"/>
      </w:tblPr>
      <w:tblGrid>
        <w:gridCol w:w="2041"/>
        <w:gridCol w:w="3934"/>
        <w:gridCol w:w="2166"/>
        <w:gridCol w:w="1642"/>
        <w:gridCol w:w="1754"/>
      </w:tblGrid>
      <w:tr w:rsidR="007F573D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функции (полномочия, обязанности или права)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Характер функции (новая/изменяемая/отменяемая)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5.3.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Предполагаемый порядок реализации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изменения потребностей в других ресурсах</w:t>
            </w:r>
          </w:p>
        </w:tc>
      </w:tr>
      <w:tr w:rsidR="007F573D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уточняет градацию, для недопущения неоднозначного толкования при оценке заявок участников открытого конкурса не затрагивая бальную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систему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не изменяется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«О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21 марта 2017 года №293 «Об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</w:tbl>
    <w:p w:rsidR="007F573D" w:rsidRDefault="007F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Оценка дополнительных расходов (доходов) районного бюджета (бюджета муниципального образования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1"/>
        <w:gridCol w:w="3420"/>
        <w:gridCol w:w="2891"/>
      </w:tblGrid>
      <w:tr w:rsidR="007F573D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>
              <w:r>
                <w:rPr>
                  <w:rFonts w:ascii="Times New Roman" w:hAnsi="Times New Roman"/>
                  <w:sz w:val="28"/>
                  <w:szCs w:val="28"/>
                </w:rPr>
                <w:t>подпунктом 5.1 пункта 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Виды расходов (возможных поступлений районного бюджета (бюджета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6.3. Количественная оценка расходов и возможных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поступлений,</w:t>
            </w:r>
          </w:p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7F573D">
        <w:tc>
          <w:tcPr>
            <w:tcW w:w="9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органа местного самоуправления</w:t>
            </w:r>
          </w:p>
        </w:tc>
      </w:tr>
      <w:tr w:rsidR="007F573D"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Единовременные расходы в 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Единовременные расходы в 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единовременные расходы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периодические расходы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 гг.: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6.4.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Другие сведения о дополнительных расходах (доходах) районного бюджета (бюджета муниципального образования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район), возникающих в связи с введением предлагаемого правового регулирования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6.5.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данных: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</w:p>
    <w:p w:rsidR="007F573D" w:rsidRDefault="007F57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6"/>
        <w:gridCol w:w="3046"/>
        <w:gridCol w:w="1898"/>
        <w:gridCol w:w="2062"/>
      </w:tblGrid>
      <w:tr w:rsidR="007F573D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24">
              <w:r>
                <w:rPr>
                  <w:rFonts w:ascii="Times New Roman" w:hAnsi="Times New Roman"/>
                  <w:sz w:val="28"/>
                  <w:szCs w:val="28"/>
                </w:rPr>
                <w:t>подпунктом 4.1 пункта 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 Количественная оценка,</w:t>
            </w:r>
          </w:p>
          <w:p w:rsidR="007F573D" w:rsidRDefault="00F84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7F573D"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73D"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F849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F573D"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D" w:rsidRDefault="007F57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73D" w:rsidRDefault="007F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7.5.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.</w:t>
      </w:r>
      <w:proofErr w:type="gramEnd"/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7.6.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данных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отсутствуют.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Оценка рисков неблагоприятных последствий применения предлагаемого правового регулирования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tbl>
      <w:tblPr>
        <w:tblW w:w="9600" w:type="dxa"/>
        <w:tblCellMar>
          <w:left w:w="62" w:type="dxa"/>
          <w:right w:w="62" w:type="dxa"/>
        </w:tblCellMar>
        <w:tblLook w:val="04A0"/>
      </w:tblPr>
      <w:tblGrid>
        <w:gridCol w:w="1634"/>
        <w:gridCol w:w="2240"/>
        <w:gridCol w:w="1637"/>
        <w:gridCol w:w="4089"/>
      </w:tblGrid>
      <w:tr w:rsidR="007F573D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8.1.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8.3.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Методы контроля рисков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Степень контроля рисков (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полный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/частичный/отсутствует)</w:t>
            </w:r>
          </w:p>
        </w:tc>
      </w:tr>
      <w:tr w:rsidR="007F573D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F573D" w:rsidRDefault="007F573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8.5.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Источники данных: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законодательство Российской Федерации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Сравнение возможных вариантов решения проблемы: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9645" w:type="dxa"/>
        <w:tblCellMar>
          <w:left w:w="62" w:type="dxa"/>
          <w:right w:w="62" w:type="dxa"/>
        </w:tblCellMar>
        <w:tblLook w:val="04A0"/>
      </w:tblPr>
      <w:tblGrid>
        <w:gridCol w:w="5329"/>
        <w:gridCol w:w="2158"/>
        <w:gridCol w:w="2158"/>
      </w:tblGrid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7F573D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Вариант 2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9.1.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принятие муниципального нормативного правового акта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принятие муниципального нормативного правового акта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  <w:p w:rsidR="007F573D" w:rsidRDefault="00F8490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представляется </w:t>
            </w:r>
          </w:p>
          <w:p w:rsidR="007F573D" w:rsidRDefault="00F8490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возможным установить</w:t>
            </w:r>
          </w:p>
          <w:p w:rsidR="007F573D" w:rsidRDefault="007F573D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  <w:p w:rsidR="007F573D" w:rsidRDefault="00F8490A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представляется </w:t>
            </w:r>
          </w:p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возможным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предполагается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предполагается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9.5.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Оценка возможности достижения заявленных целей регулирования (</w:t>
            </w:r>
            <w:r>
              <w:rPr>
                <w:rFonts w:ascii="Times New Roman CYR" w:eastAsia="Times New Roman" w:hAnsi="Times New Roman CYR" w:cs="Times New Roman CYR"/>
                <w:color w:val="0000FF"/>
                <w:sz w:val="28"/>
                <w:szCs w:val="28"/>
                <w:u w:val="single"/>
                <w:lang w:eastAsia="ru-RU"/>
              </w:rPr>
              <w:t>пункт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предполагаемая цель будет достигнута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предполагаемая цель не будет достигнута</w:t>
            </w:r>
          </w:p>
        </w:tc>
      </w:tr>
      <w:tr w:rsidR="007F573D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9.6.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73D" w:rsidRDefault="00F8490A">
            <w:pPr>
              <w:spacing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9.7.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Обоснование выбора предпочтительного варианта решения выявленной проблемы: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выявленная проблема может быть решена исключительно посредством введения предлагаемого правового регулирования.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9.8.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Детальное описание предлагаемого варианта решения проблемы: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внесение изменений по тексту для исключения двойного понимания критериев оценки словами «включительно» и «свыше»,  пример:  свыше 3 до 5 лет включительно -25 баллов.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необходимость установления переходного периода отсутствует.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10.1.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Предполагаемая дата вступления в силу муниципального нормативного правового акта: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апрель 2021 года.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10.2.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отсутствуют.</w:t>
      </w:r>
    </w:p>
    <w:p w:rsidR="007F573D" w:rsidRDefault="007F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10.3.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Необходимость распространения предлагаемого правового регулирования на ранее возникшие отношения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отсутствует.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10.3.1.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Период распространения на ранее возникшие отношения: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отсутствует.</w:t>
      </w:r>
    </w:p>
    <w:p w:rsidR="007F573D" w:rsidRDefault="007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10.4.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требуется.</w:t>
      </w:r>
    </w:p>
    <w:p w:rsidR="007F573D" w:rsidRDefault="007F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7F573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7F573D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F8490A">
      <w:pPr>
        <w:spacing w:after="0" w:line="240" w:lineRule="auto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Начальник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 по вопросам ЖКХ, </w:t>
      </w:r>
    </w:p>
    <w:p w:rsidR="007F573D" w:rsidRDefault="00F8490A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транспорта, энергообеспечения и связи </w:t>
      </w:r>
    </w:p>
    <w:p w:rsidR="007F573D" w:rsidRDefault="00F8490A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7F573D" w:rsidRDefault="00F8490A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А.Ю.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Котикова</w:t>
      </w:r>
      <w:proofErr w:type="spellEnd"/>
    </w:p>
    <w:p w:rsidR="007F573D" w:rsidRDefault="007F573D">
      <w:pPr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73D" w:rsidRDefault="007F573D"/>
    <w:sectPr w:rsidR="007F573D" w:rsidSect="007F57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3D"/>
    <w:rsid w:val="001D43EA"/>
    <w:rsid w:val="002120E9"/>
    <w:rsid w:val="0040182C"/>
    <w:rsid w:val="00411BC7"/>
    <w:rsid w:val="0043511E"/>
    <w:rsid w:val="005E07AC"/>
    <w:rsid w:val="005E12F5"/>
    <w:rsid w:val="007278C9"/>
    <w:rsid w:val="007F573D"/>
    <w:rsid w:val="00897E4F"/>
    <w:rsid w:val="00C37E3A"/>
    <w:rsid w:val="00C87A3D"/>
    <w:rsid w:val="00DA0EAD"/>
    <w:rsid w:val="00DC66AE"/>
    <w:rsid w:val="00F8490A"/>
    <w:rsid w:val="00FA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B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F573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F57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F573D"/>
    <w:pPr>
      <w:spacing w:after="140"/>
    </w:pPr>
  </w:style>
  <w:style w:type="paragraph" w:styleId="a5">
    <w:name w:val="List"/>
    <w:basedOn w:val="a4"/>
    <w:rsid w:val="007F573D"/>
    <w:rPr>
      <w:rFonts w:cs="Lucida Sans"/>
    </w:rPr>
  </w:style>
  <w:style w:type="paragraph" w:customStyle="1" w:styleId="Caption">
    <w:name w:val="Caption"/>
    <w:basedOn w:val="a"/>
    <w:qFormat/>
    <w:rsid w:val="007F57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7F573D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FB15EB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18</cp:revision>
  <dcterms:created xsi:type="dcterms:W3CDTF">2021-04-23T08:41:00Z</dcterms:created>
  <dcterms:modified xsi:type="dcterms:W3CDTF">2021-04-26T10:45:00Z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