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9F" w:rsidRDefault="0040239F" w:rsidP="0040239F">
      <w:pPr>
        <w:jc w:val="both"/>
      </w:pPr>
      <w:r>
        <w:t xml:space="preserve"> </w:t>
      </w:r>
    </w:p>
    <w:p w:rsidR="0040239F" w:rsidRDefault="0040239F" w:rsidP="00FF3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организации системной работы, ориентированной на профилактику нарушений действующего законодательства Российской Федерации при оказании услуг общественного питания, в том числе направленной на соблюдение положений статьи 12 Федерального закона Российской Федерации от 23 февраля 2013 г. № 15-ФЗ «Об охране здоровья граждан от воздействия окружающего табачного дыма и последствий потребления табака» о необходимости соблюдения запрета курения в помещениях, предназначенных для предоставления услуг общественного питания</w:t>
      </w:r>
      <w:r w:rsidR="00FF34EC">
        <w:rPr>
          <w:rFonts w:ascii="TimesNewRomanPSMT" w:hAnsi="TimesNewRomanPSMT" w:cs="TimesNewRomanPSMT"/>
          <w:sz w:val="28"/>
          <w:szCs w:val="28"/>
        </w:rPr>
        <w:t xml:space="preserve">, администрация муниципального образования </w:t>
      </w:r>
      <w:proofErr w:type="spellStart"/>
      <w:r w:rsidR="00FF34EC">
        <w:rPr>
          <w:rFonts w:ascii="TimesNewRomanPSMT" w:hAnsi="TimesNewRomanPSMT" w:cs="TimesNewRomanPSMT"/>
          <w:sz w:val="28"/>
          <w:szCs w:val="28"/>
        </w:rPr>
        <w:t>Усть-Лабинский</w:t>
      </w:r>
      <w:proofErr w:type="spellEnd"/>
      <w:r w:rsidR="00FF34EC">
        <w:rPr>
          <w:rFonts w:ascii="TimesNewRomanPSMT" w:hAnsi="TimesNewRomanPSMT" w:cs="TimesNewRomanPSMT"/>
          <w:sz w:val="28"/>
          <w:szCs w:val="28"/>
        </w:rPr>
        <w:t xml:space="preserve"> район доводит до сведения, что з</w:t>
      </w:r>
      <w:r>
        <w:rPr>
          <w:rFonts w:ascii="TimesNewRomanPSMT" w:hAnsi="TimesNewRomanPSMT" w:cs="TimesNewRomanPSMT"/>
          <w:sz w:val="28"/>
          <w:szCs w:val="28"/>
        </w:rPr>
        <w:t xml:space="preserve">апрет курения кальянов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никотинсодержащей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продукции  в предприятиях общественного питания распространяется на любые кальяны, а также на широкий спектр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никотинсодержащей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продукции, в том числе электронные испарители, электронные сигареты,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вейпы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», «IQOS»,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glo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», «REVO» и т.д.</w:t>
      </w:r>
    </w:p>
    <w:p w:rsidR="00FF34EC" w:rsidRDefault="00FF34EC" w:rsidP="0040239F">
      <w:pPr>
        <w:spacing w:line="240" w:lineRule="auto"/>
        <w:ind w:firstLine="708"/>
        <w:jc w:val="both"/>
      </w:pPr>
    </w:p>
    <w:p w:rsidR="0040239F" w:rsidRDefault="00FF34EC" w:rsidP="00FF34EC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941198" cy="3013545"/>
            <wp:effectExtent l="19050" t="0" r="21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208" t="25953" r="34528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189" cy="301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0239F"/>
    <w:rsid w:val="0040239F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3</cp:revision>
  <dcterms:created xsi:type="dcterms:W3CDTF">2025-01-15T13:22:00Z</dcterms:created>
  <dcterms:modified xsi:type="dcterms:W3CDTF">2025-01-15T13:45:00Z</dcterms:modified>
</cp:coreProperties>
</file>