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bottom w:val="single" w:sz="6" w:space="9" w:color="E4E7E9"/>
        </w:pBdr>
        <w:shd w:val="clear" w:color="auto" w:fill="FFFFFF"/>
        <w:spacing w:lineRule="auto" w:line="240" w:before="0" w:after="0"/>
        <w:jc w:val="center"/>
        <w:outlineLvl w:val="0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val="ru-RU" w:eastAsia="ru-RU"/>
        </w:rPr>
        <w:t>ИНФОРМАЦИОННОЕ СООБЩЕНИЕ</w:t>
      </w:r>
    </w:p>
    <w:p>
      <w:pPr>
        <w:pStyle w:val="Normal"/>
        <w:numPr>
          <w:ilvl w:val="0"/>
          <w:numId w:val="0"/>
        </w:numPr>
        <w:pBdr>
          <w:bottom w:val="single" w:sz="6" w:space="9" w:color="E4E7E9"/>
        </w:pBd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kern w:val="2"/>
          <w:lang w:eastAsia="ru-RU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pBdr>
          <w:bottom w:val="single" w:sz="6" w:space="9" w:color="E4E7E9"/>
        </w:pBdr>
        <w:shd w:val="clear" w:color="auto" w:fill="FFFFFF"/>
        <w:spacing w:lineRule="auto" w:line="240" w:before="0" w:after="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ab/>
        <w:t>Общественные обсуждения п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>роектов постановлений администрации муниципального образования Усть-Лабинский район в рамках муниципального контроля на 2022 год</w:t>
      </w:r>
      <w:bookmarkStart w:id="0" w:name="_GoBack"/>
      <w:bookmarkEnd w:id="0"/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 xml:space="preserve">., 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 xml:space="preserve">состоятся с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 25 февраля по 16 марта 2022 года с целью общественного обсуждения в разделе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eastAsia="ru-RU"/>
        </w:rPr>
        <w:t xml:space="preserve"> </w:t>
      </w:r>
      <w:hyperlink r:id="rId2">
        <w:r>
          <w:rPr>
            <w:rStyle w:val="Style14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eastAsia="ru-RU"/>
          </w:rPr>
          <w:t>Администрация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eastAsia="ru-RU"/>
        </w:rPr>
        <w:t xml:space="preserve"> - </w:t>
      </w:r>
      <w:hyperlink r:id="rId3">
        <w:r>
          <w:rPr>
            <w:rStyle w:val="Style14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eastAsia="ru-RU"/>
          </w:rPr>
          <w:t>Управления и отделы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eastAsia="ru-RU"/>
        </w:rPr>
        <w:t xml:space="preserve"> - </w:t>
      </w:r>
      <w:hyperlink r:id="rId4">
        <w:r>
          <w:rPr>
            <w:rStyle w:val="Style14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eastAsia="ru-RU"/>
          </w:rPr>
          <w:t>Отдел по вопросам ЖКХ, строительства, промышленности, транспорта, энергообеспечения и связи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eastAsia="ru-RU"/>
        </w:rPr>
        <w:t xml:space="preserve"> 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>Публичные слушания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 -  размещены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u w:val="none"/>
          <w:lang w:eastAsia="ru-RU"/>
        </w:rPr>
        <w:t>Проекты постановлений:</w:t>
      </w:r>
    </w:p>
    <w:p>
      <w:pPr>
        <w:pStyle w:val="Normal"/>
        <w:numPr>
          <w:ilvl w:val="0"/>
          <w:numId w:val="0"/>
        </w:numPr>
        <w:pBdr>
          <w:bottom w:val="single" w:sz="6" w:space="9" w:color="E4E7E9"/>
        </w:pBdr>
        <w:shd w:val="clear" w:color="auto" w:fill="FFFFFF"/>
        <w:spacing w:lineRule="auto" w:line="240" w:before="150" w:after="150"/>
        <w:ind w:hanging="0"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u w:val="none"/>
          <w:lang w:eastAsia="ru-RU"/>
        </w:rPr>
        <w:t>-  Об утверждении пр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lang w:eastAsia="ru-RU"/>
        </w:rPr>
        <w:t>ограммы профилактики рисков причинения вреда (ущерба) охраняемым законом ценностям п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u w:val="none"/>
          <w:lang w:eastAsia="ru-RU"/>
        </w:rPr>
        <w:t>о муниципальному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lang w:eastAsia="ru-RU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>
      <w:pPr>
        <w:pStyle w:val="Normal"/>
        <w:numPr>
          <w:ilvl w:val="0"/>
          <w:numId w:val="0"/>
        </w:numPr>
        <w:pBdr>
          <w:bottom w:val="single" w:sz="6" w:space="9" w:color="E4E7E9"/>
        </w:pBdr>
        <w:shd w:val="clear" w:color="auto" w:fill="FFFFFF"/>
        <w:spacing w:lineRule="auto" w:line="240" w:before="150" w:after="150"/>
        <w:ind w:hanging="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lang w:eastAsia="ru-RU"/>
        </w:rPr>
        <w:t xml:space="preserve">- </w:t>
      </w:r>
      <w:r>
        <w:rPr>
          <w:rStyle w:val="Style15"/>
          <w:rFonts w:eastAsia="Times New Roman" w:cs="Times New Roman"/>
          <w:b w:val="false"/>
          <w:bCs w:val="false"/>
          <w:color w:val="000000"/>
          <w:kern w:val="2"/>
          <w:sz w:val="28"/>
          <w:szCs w:val="28"/>
          <w:u w:val="none"/>
          <w:lang w:val="ru-RU" w:eastAsia="ru-RU"/>
        </w:rPr>
        <w:t>Об утверждении ф</w:t>
      </w:r>
      <w:r>
        <w:rPr>
          <w:rStyle w:val="Style15"/>
          <w:rFonts w:eastAsia="Times New Roman" w:cs="Times New Roman"/>
          <w:b w:val="false"/>
          <w:bCs w:val="false"/>
          <w:color w:val="000000"/>
          <w:spacing w:val="4"/>
          <w:kern w:val="2"/>
          <w:sz w:val="28"/>
          <w:szCs w:val="28"/>
          <w:u w:val="none"/>
          <w:lang w:val="ru-RU" w:eastAsia="ru-RU"/>
        </w:rPr>
        <w:t>орма проверочного листа,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>
      <w:pPr>
        <w:pStyle w:val="Normal"/>
        <w:numPr>
          <w:ilvl w:val="0"/>
          <w:numId w:val="0"/>
        </w:numPr>
        <w:pBdr>
          <w:bottom w:val="single" w:sz="6" w:space="9" w:color="E4E7E9"/>
        </w:pBdr>
        <w:shd w:val="clear" w:color="auto" w:fill="FFFFFF"/>
        <w:spacing w:lineRule="auto" w:line="240" w:before="150" w:after="150"/>
        <w:ind w:hanging="0"/>
        <w:jc w:val="both"/>
        <w:outlineLvl w:val="0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pacing w:val="4"/>
          <w:kern w:val="2"/>
          <w:sz w:val="28"/>
          <w:szCs w:val="28"/>
          <w:u w:val="none"/>
          <w:lang w:val="ru-RU" w:eastAsia="ru-RU"/>
        </w:rPr>
        <w:t>- Об утверждении форм проверочного листа (списка контрольных вопросов), используемых при проведении плановых проверок в рамках осуществления муниципального жилищного контроля;</w:t>
      </w:r>
    </w:p>
    <w:p>
      <w:pPr>
        <w:pStyle w:val="Normal"/>
        <w:numPr>
          <w:ilvl w:val="0"/>
          <w:numId w:val="0"/>
        </w:numPr>
        <w:pBdr>
          <w:bottom w:val="single" w:sz="6" w:space="9" w:color="E4E7E9"/>
        </w:pBdr>
        <w:shd w:val="clear" w:color="auto" w:fill="FFFFFF"/>
        <w:spacing w:lineRule="auto" w:line="240" w:before="150" w:after="150"/>
        <w:ind w:hanging="0"/>
        <w:jc w:val="both"/>
        <w:outlineLvl w:val="0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pacing w:val="4"/>
          <w:kern w:val="2"/>
          <w:sz w:val="28"/>
          <w:szCs w:val="28"/>
          <w:u w:val="none"/>
          <w:lang w:val="ru-RU" w:eastAsia="ru-RU"/>
        </w:rPr>
        <w:t>- Об утверждении программы профилактики рисков причинения вреда (ущерба) охраняемым законом ценностям по муниципальному жилищному контролю на 2022 год.</w:t>
      </w:r>
    </w:p>
    <w:p>
      <w:pPr>
        <w:pStyle w:val="Normal"/>
        <w:numPr>
          <w:ilvl w:val="0"/>
          <w:numId w:val="0"/>
        </w:numPr>
        <w:pBdr>
          <w:bottom w:val="single" w:sz="6" w:space="9" w:color="E4E7E9"/>
        </w:pBdr>
        <w:shd w:val="clear" w:color="auto" w:fill="FFFFFF"/>
        <w:spacing w:lineRule="auto" w:line="240" w:before="150" w:after="150"/>
        <w:ind w:firstLine="709"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Предложения необходимо направлять - почтовым отправлением: 352330, Краснодарский край, г. Усть-Лабинск, ул. Ленина, 38; </w:t>
      </w:r>
      <w:r>
        <w:rPr>
          <w:rFonts w:ascii="Times New Roman" w:hAnsi="Times New Roman"/>
          <w:sz w:val="28"/>
          <w:szCs w:val="28"/>
        </w:rPr>
        <w:t xml:space="preserve">нарочным: Краснодарский край, г. Усть-Лабинск, ул. Ленина, 38, каб. 4.20;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письмом на адрес электронной почты: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>ustlab.jkh@mail.ru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Гипертекстовая ссылка"/>
    <w:qFormat/>
    <w:rPr>
      <w:rFonts w:ascii="Times New Roman" w:hAnsi="Times New Roman" w:cs="Times New Roman"/>
      <w:b/>
      <w:bCs w:val="false"/>
      <w:color w:val="106BB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inustlabinsk.ru/administration/" TargetMode="External"/><Relationship Id="rId3" Type="http://schemas.openxmlformats.org/officeDocument/2006/relationships/hyperlink" Target="http://www.adminustlabinsk.ru/administration/social-services/" TargetMode="External"/><Relationship Id="rId4" Type="http://schemas.openxmlformats.org/officeDocument/2006/relationships/hyperlink" Target="http://www.adminustlabinsk.ru/administration/social-services/utilities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LibreOffice/6.3.4.2$Windows_X86_64 LibreOffice_project/60da17e045e08f1793c57c00ba83cdfce946d0aa</Application>
  <Pages>1</Pages>
  <Words>179</Words>
  <Characters>1366</Characters>
  <CharactersWithSpaces>1543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2021-12-03T01:13:00Z</dcterms:created>
  <dc:creator>Пользователь Windows</dc:creator>
  <dc:description/>
  <dc:language>ru-RU</dc:language>
  <cp:lastModifiedBy/>
  <dcterms:modified xsi:type="dcterms:W3CDTF">2022-02-17T10:20:21Z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