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before="0" w:after="0"/>
        <w:jc w:val="center"/>
        <w:rPr>
          <w:rFonts w:ascii="Times New Roman" w:hAnsi="Times New Roman"/>
          <w:i w:val="false"/>
          <w:i w:val="false"/>
        </w:rPr>
      </w:pPr>
      <w:bookmarkStart w:id="0" w:name="_Toc481046544"/>
      <w:r>
        <w:rPr>
          <w:rFonts w:ascii="Times New Roman" w:hAnsi="Times New Roman"/>
          <w:i w:val="false"/>
        </w:rPr>
        <w:t xml:space="preserve">Результаты внешней проверки годовой бюджетной </w:t>
      </w:r>
    </w:p>
    <w:p>
      <w:pPr>
        <w:pStyle w:val="2"/>
        <w:spacing w:lineRule="auto" w:before="0" w:after="0"/>
        <w:jc w:val="center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  <w:t xml:space="preserve">отчетности главных администраторов средств </w:t>
      </w:r>
    </w:p>
    <w:p>
      <w:pPr>
        <w:pStyle w:val="2"/>
        <w:spacing w:lineRule="auto" w:before="0" w:after="0"/>
        <w:jc w:val="center"/>
        <w:rPr>
          <w:rFonts w:ascii="Times New Roman" w:hAnsi="Times New Roman"/>
          <w:i w:val="false"/>
          <w:i w:val="false"/>
        </w:rPr>
      </w:pPr>
      <w:bookmarkStart w:id="1" w:name="_Toc481046544"/>
      <w:r>
        <w:rPr>
          <w:rFonts w:ascii="Times New Roman" w:hAnsi="Times New Roman"/>
          <w:i w:val="false"/>
        </w:rPr>
        <w:t>муниципального бюджета за 2016 год</w:t>
      </w:r>
      <w:bookmarkEnd w:id="1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/>
        <w:ind w:firstLine="720"/>
        <w:jc w:val="both"/>
        <w:rPr>
          <w:bCs/>
        </w:rPr>
      </w:pPr>
      <w:r>
        <w:rPr>
          <w:bCs/>
        </w:rPr>
        <w:t>В рамках осуществления внешней проверки исполнения бюджета муниципального образования проведена проверка полноты и достоверности представленной годовой бюджетной отчетности за 2016 год главных распорядителей средств бюджета, главных администраторов доходов бюджета, главных администраторов дефицита бюджета (далее – главные администраторы бюджетных средств, ГАБС).</w:t>
      </w:r>
    </w:p>
    <w:p>
      <w:pPr>
        <w:pStyle w:val="Normal"/>
        <w:spacing w:lineRule="auto"/>
        <w:ind w:firstLine="851"/>
        <w:jc w:val="both"/>
        <w:rPr/>
      </w:pPr>
      <w:r>
        <w:rPr/>
        <w:t xml:space="preserve">Для проведения внешней проверки, годовую бюджетную отчётность в Контрольно-счётную палату все </w:t>
      </w:r>
      <w:r>
        <w:rPr>
          <w:bCs/>
        </w:rPr>
        <w:t>главные администраторы бюджетных средств</w:t>
      </w:r>
      <w:r>
        <w:rPr/>
        <w:t xml:space="preserve"> представили своевременно, в сроки, установленные</w:t>
      </w:r>
      <w:r>
        <w:rPr>
          <w:bCs/>
        </w:rPr>
        <w:t xml:space="preserve"> пунктом 28 Положения </w:t>
      </w:r>
      <w:r>
        <w:rPr/>
        <w:t xml:space="preserve">о бюджетном процессе в муниципальном образовании Усть-Лабинский район. Бюджетная отчетность составлена в рублях, нарастающим итогом с начала года, с точностью до второго десятичного знака после запятой и подписана руководителями и главными бухгалтерами </w:t>
      </w:r>
      <w:r>
        <w:rPr>
          <w:bCs/>
        </w:rPr>
        <w:t>главных администраторов бюджетных средств.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  <w:t xml:space="preserve">Проверка годовой бюджетной отчетности главных администраторов бюджетных средств об администрируемых доходах, бюджетных расходах и источниках финансирования дефицита муниципального бюджета показала, что в целом, бюджетная отчетность соответствует требованиям бюджетного законодательства и отражает фактические операции с бюджетными средствами, результаты финансовой деятельности главных администраторов бюджетных средств за 2016 год, </w:t>
      </w:r>
      <w:r>
        <w:rPr>
          <w:sz w:val="28"/>
          <w:szCs w:val="28"/>
        </w:rPr>
        <w:t>а также подтверждена достоверность отчётов об исполнении бюджетов ГАБС за 2016 год.</w:t>
      </w:r>
    </w:p>
    <w:p>
      <w:pPr>
        <w:pStyle w:val="Normal"/>
        <w:spacing w:lineRule="auto"/>
        <w:ind w:firstLine="709"/>
        <w:jc w:val="both"/>
        <w:rPr/>
      </w:pPr>
      <w:r>
        <w:rPr/>
        <w:t>В отчетности, в основном, соблюдены контрольные соотношения между взаимосвязанными показателями различных форм годовой бюджетной отчетности.</w:t>
      </w:r>
    </w:p>
    <w:p>
      <w:pPr>
        <w:pStyle w:val="Normal"/>
        <w:spacing w:lineRule="auto" w:line="264"/>
        <w:ind w:firstLine="740"/>
        <w:jc w:val="both"/>
        <w:rPr/>
      </w:pPr>
      <w:r>
        <w:rPr/>
        <w:t>Вместе с тем, проверка бюджетной отчетности за 2016 год показала, что два главных администратора средств бюджета муниципального образования</w:t>
      </w:r>
      <w:bookmarkStart w:id="2" w:name="_GoBack"/>
      <w:bookmarkEnd w:id="2"/>
      <w:r>
        <w:rPr/>
        <w:t>, допустили различные нарушения и недостатки в работе.</w:t>
      </w:r>
    </w:p>
    <w:p>
      <w:pPr>
        <w:pStyle w:val="Normal"/>
        <w:spacing w:lineRule="auto" w:line="264"/>
        <w:ind w:firstLine="426"/>
        <w:jc w:val="both"/>
        <w:rPr/>
      </w:pPr>
      <w:r>
        <w:rPr/>
        <w:t>В целом проверкой были установлены финансовые и учетные нарушения в работе главных администраторов на общую сумму 7 824,0 тыс. рублей. Сумма устраненных в ходе проверки нарушений составила 30,1</w:t>
      </w:r>
      <w:r>
        <w:rPr>
          <w:color w:val="00B0F0"/>
        </w:rPr>
        <w:t xml:space="preserve"> </w:t>
      </w:r>
      <w:r>
        <w:rPr/>
        <w:t>тыс. рублей.</w:t>
      </w:r>
    </w:p>
    <w:p>
      <w:pPr>
        <w:pStyle w:val="Normal"/>
        <w:spacing w:lineRule="auto" w:line="264"/>
        <w:ind w:firstLine="760"/>
        <w:jc w:val="both"/>
        <w:rPr/>
      </w:pPr>
      <w:r>
        <w:rPr/>
        <w:t>Нарушения и недостатки в годовой бюджетной отчетности главных администраторов бюджетных средств за 2016 год, подробно отражены в соответствующих актах Контрольно-счетной палаты, составленных по результатам проверок. Главным администраторам бюджетных средств, допустившим нарушения и недостатки при исполнении бюджета, внесены Представления Контрольно-счетной палаты для их устранения.</w:t>
      </w:r>
    </w:p>
    <w:p>
      <w:pPr>
        <w:pStyle w:val="Normal"/>
        <w:spacing w:lineRule="auto" w:line="264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0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c5047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c5047"/>
    <w:rPr>
      <w:rFonts w:ascii="Calibri Light" w:hAnsi="Calibri Light" w:eastAsia="Times New Roman" w:cs="Times New Roman"/>
      <w:b/>
      <w:bCs/>
      <w:i/>
      <w:iCs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1</Pages>
  <Words>283</Words>
  <Characters>2150</Characters>
  <CharactersWithSpaces>2426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2017-07-06T10:58:00Z</dcterms:created>
  <dc:creator>Колесников</dc:creator>
  <dc:description/>
  <dc:language>ru-RU</dc:language>
  <cp:lastModifiedBy/>
  <dcterms:modified xsi:type="dcterms:W3CDTF">2023-01-25T14:54:58Z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