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A401B3" w:rsidRDefault="00133455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>Управление сельского хозяйства</w:t>
      </w:r>
      <w:r w:rsidR="00A401B3">
        <w:rPr>
          <w:color w:val="000000" w:themeColor="text1"/>
        </w:rPr>
        <w:t xml:space="preserve"> </w:t>
      </w:r>
    </w:p>
    <w:p w:rsidR="00F92985" w:rsidRDefault="00A401B3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proofErr w:type="gramStart"/>
      <w:r w:rsidR="00F92985">
        <w:rPr>
          <w:color w:val="000000" w:themeColor="text1"/>
        </w:rPr>
        <w:t>муниципального</w:t>
      </w:r>
      <w:proofErr w:type="gramEnd"/>
      <w:r w:rsidR="00F92985">
        <w:rPr>
          <w:color w:val="000000" w:themeColor="text1"/>
        </w:rPr>
        <w:t xml:space="preserve"> образования</w:t>
      </w:r>
    </w:p>
    <w:p w:rsidR="00112FD6" w:rsidRDefault="00F92985" w:rsidP="00112FD6">
      <w:pPr>
        <w:rPr>
          <w:color w:val="000000" w:themeColor="text1"/>
        </w:rPr>
      </w:pPr>
      <w:proofErr w:type="spellStart"/>
      <w:r>
        <w:rPr>
          <w:color w:val="000000" w:themeColor="text1"/>
        </w:rPr>
        <w:t>Усть-Лабинский</w:t>
      </w:r>
      <w:proofErr w:type="spellEnd"/>
      <w:r>
        <w:rPr>
          <w:color w:val="000000" w:themeColor="text1"/>
        </w:rPr>
        <w:t xml:space="preserve"> район</w:t>
      </w:r>
    </w:p>
    <w:p w:rsidR="00F92985" w:rsidRDefault="00F92985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A401B3" w:rsidRPr="00D91B97" w:rsidRDefault="00A401B3" w:rsidP="00A401B3">
      <w:pPr>
        <w:tabs>
          <w:tab w:val="left" w:pos="3510"/>
        </w:tabs>
        <w:jc w:val="center"/>
        <w:rPr>
          <w:b/>
          <w:szCs w:val="28"/>
        </w:rPr>
      </w:pPr>
      <w:r w:rsidRPr="00D91B97">
        <w:rPr>
          <w:b/>
          <w:szCs w:val="28"/>
        </w:rPr>
        <w:t>Заключение</w:t>
      </w:r>
    </w:p>
    <w:p w:rsidR="00A401B3" w:rsidRPr="00D91B97" w:rsidRDefault="00A401B3" w:rsidP="00A401B3">
      <w:pPr>
        <w:tabs>
          <w:tab w:val="left" w:pos="3510"/>
        </w:tabs>
        <w:jc w:val="center"/>
        <w:rPr>
          <w:szCs w:val="28"/>
        </w:rPr>
      </w:pPr>
      <w:r w:rsidRPr="00D91B97">
        <w:rPr>
          <w:szCs w:val="28"/>
        </w:rPr>
        <w:t xml:space="preserve">об оценке регулирующего воздействия проекта </w:t>
      </w:r>
      <w:r>
        <w:rPr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133455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133455">
        <w:rPr>
          <w:szCs w:val="28"/>
        </w:rPr>
        <w:t>Усть-Лабинский</w:t>
      </w:r>
      <w:proofErr w:type="spellEnd"/>
      <w:r w:rsidR="00133455">
        <w:rPr>
          <w:szCs w:val="28"/>
        </w:rPr>
        <w:t xml:space="preserve"> район</w:t>
      </w:r>
      <w:r>
        <w:rPr>
          <w:szCs w:val="28"/>
        </w:rPr>
        <w:t xml:space="preserve">» </w:t>
      </w:r>
    </w:p>
    <w:p w:rsidR="00A401B3" w:rsidRPr="00D91B97" w:rsidRDefault="00A401B3" w:rsidP="00A401B3">
      <w:pPr>
        <w:tabs>
          <w:tab w:val="left" w:pos="1620"/>
        </w:tabs>
        <w:jc w:val="both"/>
        <w:rPr>
          <w:szCs w:val="28"/>
        </w:rPr>
      </w:pPr>
    </w:p>
    <w:p w:rsidR="00A401B3" w:rsidRPr="00D91B97" w:rsidRDefault="00A401B3" w:rsidP="00A401B3">
      <w:pPr>
        <w:tabs>
          <w:tab w:val="left" w:pos="709"/>
        </w:tabs>
        <w:jc w:val="both"/>
        <w:rPr>
          <w:szCs w:val="28"/>
        </w:rPr>
      </w:pPr>
      <w:r w:rsidRPr="00D91B97">
        <w:rPr>
          <w:szCs w:val="28"/>
        </w:rPr>
        <w:tab/>
        <w:t xml:space="preserve">Управление экономики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рассмотрело поступивший </w:t>
      </w:r>
      <w:r w:rsidR="003C7C09">
        <w:rPr>
          <w:szCs w:val="28"/>
        </w:rPr>
        <w:t>8</w:t>
      </w:r>
      <w:r w:rsidR="00887300" w:rsidRPr="00925262">
        <w:rPr>
          <w:szCs w:val="28"/>
        </w:rPr>
        <w:t xml:space="preserve"> ию</w:t>
      </w:r>
      <w:r w:rsidR="00B04897" w:rsidRPr="00925262">
        <w:rPr>
          <w:szCs w:val="28"/>
        </w:rPr>
        <w:t>л</w:t>
      </w:r>
      <w:r w:rsidR="00887300" w:rsidRPr="00925262">
        <w:rPr>
          <w:szCs w:val="28"/>
        </w:rPr>
        <w:t>я</w:t>
      </w:r>
      <w:r w:rsidRPr="00925262">
        <w:rPr>
          <w:szCs w:val="28"/>
        </w:rPr>
        <w:t xml:space="preserve"> 202</w:t>
      </w:r>
      <w:r w:rsidR="003C7C09">
        <w:rPr>
          <w:szCs w:val="28"/>
        </w:rPr>
        <w:t>2</w:t>
      </w:r>
      <w:r w:rsidRPr="00FD1620">
        <w:rPr>
          <w:szCs w:val="28"/>
        </w:rPr>
        <w:t xml:space="preserve"> года</w:t>
      </w:r>
      <w:r w:rsidRPr="00D91B97">
        <w:rPr>
          <w:szCs w:val="28"/>
        </w:rPr>
        <w:t xml:space="preserve"> проект </w:t>
      </w:r>
      <w:r>
        <w:rPr>
          <w:szCs w:val="28"/>
        </w:rPr>
        <w:t xml:space="preserve">постановления администрации </w:t>
      </w:r>
      <w:proofErr w:type="gramStart"/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3B1113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3B1113">
        <w:rPr>
          <w:szCs w:val="28"/>
        </w:rPr>
        <w:t>Усть-Лабинский</w:t>
      </w:r>
      <w:proofErr w:type="spellEnd"/>
      <w:r w:rsidR="003B1113">
        <w:rPr>
          <w:szCs w:val="28"/>
        </w:rPr>
        <w:t xml:space="preserve"> район</w:t>
      </w:r>
      <w:r>
        <w:rPr>
          <w:szCs w:val="28"/>
        </w:rPr>
        <w:t xml:space="preserve">» </w:t>
      </w:r>
      <w:r w:rsidRPr="00D91B97">
        <w:rPr>
          <w:szCs w:val="28"/>
        </w:rPr>
        <w:t xml:space="preserve">(далее – Проект), направленный для подготовки настоящего Заключения </w:t>
      </w:r>
      <w:r w:rsidR="00372A1E">
        <w:rPr>
          <w:szCs w:val="28"/>
        </w:rPr>
        <w:t>управлением сельского хозяйства</w:t>
      </w:r>
      <w:r w:rsidRPr="00D91B97">
        <w:rPr>
          <w:szCs w:val="28"/>
        </w:rPr>
        <w:t xml:space="preserve">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(далее – разработчик) и сообщает следующее.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от </w:t>
      </w:r>
      <w:r w:rsidR="00E14633">
        <w:rPr>
          <w:szCs w:val="28"/>
        </w:rPr>
        <w:t>24</w:t>
      </w:r>
      <w:r w:rsidRPr="00D91B97">
        <w:rPr>
          <w:szCs w:val="28"/>
        </w:rPr>
        <w:t>.1</w:t>
      </w:r>
      <w:r w:rsidR="00E14633">
        <w:rPr>
          <w:szCs w:val="28"/>
        </w:rPr>
        <w:t>1</w:t>
      </w:r>
      <w:r w:rsidRPr="00D91B97">
        <w:rPr>
          <w:szCs w:val="28"/>
        </w:rPr>
        <w:t>.20</w:t>
      </w:r>
      <w:r w:rsidR="00E14633">
        <w:rPr>
          <w:szCs w:val="28"/>
        </w:rPr>
        <w:t>21</w:t>
      </w:r>
      <w:r w:rsidRPr="00D91B97">
        <w:rPr>
          <w:szCs w:val="28"/>
        </w:rPr>
        <w:t xml:space="preserve"> № 1</w:t>
      </w:r>
      <w:r w:rsidR="00E14633">
        <w:rPr>
          <w:szCs w:val="28"/>
        </w:rPr>
        <w:t>129</w:t>
      </w:r>
      <w:r w:rsidRPr="00D91B97">
        <w:rPr>
          <w:szCs w:val="28"/>
        </w:rPr>
        <w:t xml:space="preserve"> (далее – Порядок), проект подлежит проведению оценки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lastRenderedPageBreak/>
        <w:tab/>
        <w:t xml:space="preserve">Проект содержит положения, имеющие </w:t>
      </w:r>
      <w:r w:rsidR="00BA4337">
        <w:rPr>
          <w:szCs w:val="28"/>
        </w:rPr>
        <w:t>высокую</w:t>
      </w:r>
      <w:r w:rsidRPr="00D91B97">
        <w:rPr>
          <w:szCs w:val="28"/>
        </w:rPr>
        <w:t xml:space="preserve"> степень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D91B97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89252F">
        <w:rPr>
          <w:szCs w:val="28"/>
        </w:rPr>
        <w:t xml:space="preserve">Разработчиком предложен один вариант правового регулирования – принятие постановления администрации муниципального образования </w:t>
      </w:r>
      <w:proofErr w:type="spellStart"/>
      <w:r w:rsidRPr="0089252F">
        <w:rPr>
          <w:szCs w:val="28"/>
        </w:rPr>
        <w:t>Усть-Лабинский</w:t>
      </w:r>
      <w:proofErr w:type="spellEnd"/>
      <w:r w:rsidRPr="0089252F">
        <w:rPr>
          <w:szCs w:val="28"/>
        </w:rPr>
        <w:t xml:space="preserve"> район «</w:t>
      </w:r>
      <w:r w:rsidR="004D3AE5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4D3AE5">
        <w:rPr>
          <w:szCs w:val="28"/>
        </w:rPr>
        <w:t>Усть-Лабинский</w:t>
      </w:r>
      <w:proofErr w:type="spellEnd"/>
      <w:r w:rsidR="004D3AE5">
        <w:rPr>
          <w:szCs w:val="28"/>
        </w:rPr>
        <w:t xml:space="preserve"> район</w:t>
      </w:r>
      <w:r>
        <w:rPr>
          <w:szCs w:val="28"/>
        </w:rPr>
        <w:t>»</w:t>
      </w:r>
      <w:r w:rsidRPr="00D91B97">
        <w:rPr>
          <w:szCs w:val="28"/>
        </w:rPr>
        <w:t xml:space="preserve">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- проблема, на решение которой направлено правовое регулирование, сформирована точно;</w:t>
      </w:r>
    </w:p>
    <w:p w:rsidR="00BB3CA2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D2C96">
        <w:rPr>
          <w:szCs w:val="28"/>
        </w:rPr>
        <w:t xml:space="preserve">- определены потенциальные адресаты предлагаемого правового регулирования: </w:t>
      </w:r>
    </w:p>
    <w:p w:rsidR="00BB3CA2" w:rsidRDefault="00EA1923" w:rsidP="00BB3CA2">
      <w:pPr>
        <w:ind w:firstLine="709"/>
        <w:jc w:val="both"/>
      </w:pPr>
      <w:r>
        <w:rPr>
          <w:color w:val="000000"/>
          <w:szCs w:val="28"/>
        </w:rPr>
        <w:t xml:space="preserve">- </w:t>
      </w:r>
      <w:r w:rsidR="00BB3CA2">
        <w:rPr>
          <w:color w:val="000000"/>
          <w:szCs w:val="28"/>
        </w:rPr>
        <w:t xml:space="preserve">граждане, проживающие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</w:t>
      </w:r>
      <w:proofErr w:type="spellStart"/>
      <w:r w:rsidR="00BB3CA2">
        <w:rPr>
          <w:color w:val="000000"/>
          <w:szCs w:val="28"/>
        </w:rPr>
        <w:t>Усть-Лабинский</w:t>
      </w:r>
      <w:proofErr w:type="spellEnd"/>
      <w:r w:rsidR="00BB3CA2">
        <w:rPr>
          <w:color w:val="000000"/>
          <w:szCs w:val="28"/>
        </w:rPr>
        <w:t xml:space="preserve"> район в соответствии с действующим законодательством;</w:t>
      </w:r>
    </w:p>
    <w:p w:rsidR="00BB3CA2" w:rsidRDefault="00BB3CA2" w:rsidP="00BB3CA2">
      <w:pPr>
        <w:ind w:firstLine="709"/>
        <w:jc w:val="both"/>
        <w:rPr>
          <w:szCs w:val="28"/>
        </w:rPr>
      </w:pPr>
      <w:r>
        <w:rPr>
          <w:szCs w:val="28"/>
        </w:rPr>
        <w:t>- крестьянские (фермерские) хозяйства, зарегистрированные и осуществляющие деятельность в области производства сельскохозяйственной продукции на территории Краснодарского края;</w:t>
      </w:r>
    </w:p>
    <w:p w:rsidR="00BB3CA2" w:rsidRDefault="00230C5A" w:rsidP="00230C5A">
      <w:pPr>
        <w:ind w:firstLine="709"/>
        <w:jc w:val="both"/>
        <w:rPr>
          <w:szCs w:val="28"/>
        </w:rPr>
      </w:pPr>
      <w:r>
        <w:rPr>
          <w:szCs w:val="28"/>
        </w:rPr>
        <w:t xml:space="preserve">- индивидуальные предприниматели, </w:t>
      </w:r>
      <w:r w:rsidR="00BB3CA2">
        <w:rPr>
          <w:szCs w:val="28"/>
        </w:rPr>
        <w:t>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BB3CA2" w:rsidRDefault="00BB3CA2" w:rsidP="00BB3CA2">
      <w:pPr>
        <w:ind w:firstLine="709"/>
        <w:jc w:val="both"/>
        <w:rPr>
          <w:szCs w:val="28"/>
        </w:rPr>
      </w:pPr>
      <w:r>
        <w:rPr>
          <w:szCs w:val="28"/>
        </w:rPr>
        <w:t xml:space="preserve">- 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</w:t>
      </w:r>
      <w:r>
        <w:rPr>
          <w:szCs w:val="28"/>
        </w:rPr>
        <w:lastRenderedPageBreak/>
        <w:t>классификатором по видам экономической деятельности (ОКПД2) ОК 0</w:t>
      </w:r>
      <w:r w:rsidR="00E14633">
        <w:rPr>
          <w:szCs w:val="28"/>
        </w:rPr>
        <w:t>29</w:t>
      </w:r>
      <w:r>
        <w:rPr>
          <w:szCs w:val="28"/>
        </w:rPr>
        <w:t>-2014 (К</w:t>
      </w:r>
      <w:r w:rsidR="00F4076B">
        <w:rPr>
          <w:szCs w:val="28"/>
        </w:rPr>
        <w:t>П</w:t>
      </w:r>
      <w:r>
        <w:rPr>
          <w:szCs w:val="28"/>
        </w:rPr>
        <w:t>ЕС</w:t>
      </w:r>
      <w:proofErr w:type="gramStart"/>
      <w:r>
        <w:rPr>
          <w:szCs w:val="28"/>
        </w:rPr>
        <w:t xml:space="preserve"> </w:t>
      </w:r>
      <w:r w:rsidR="00E14633">
        <w:rPr>
          <w:szCs w:val="28"/>
        </w:rPr>
        <w:t>Р</w:t>
      </w:r>
      <w:proofErr w:type="gramEnd"/>
      <w:r w:rsidR="00E14633">
        <w:rPr>
          <w:szCs w:val="28"/>
        </w:rPr>
        <w:t>ед.2</w:t>
      </w:r>
      <w:r>
        <w:rPr>
          <w:szCs w:val="28"/>
        </w:rPr>
        <w:t>).</w:t>
      </w:r>
    </w:p>
    <w:p w:rsidR="00370365" w:rsidRDefault="00370365" w:rsidP="0037036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порядке, в соответствии с Гражданским кодексом Российской Федерации.</w:t>
      </w:r>
    </w:p>
    <w:p w:rsidR="009301C7" w:rsidRDefault="009301C7" w:rsidP="009301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министерством финансов Краснодарского края.</w:t>
      </w:r>
    </w:p>
    <w:p w:rsidR="00BC090F" w:rsidRPr="00434C66" w:rsidRDefault="00BC090F" w:rsidP="003017BD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 субсидий исходя из критериев отбора, указанных в раздел</w:t>
      </w:r>
      <w:r w:rsidR="003D506B">
        <w:rPr>
          <w:rFonts w:eastAsia="Calibri"/>
          <w:color w:val="000000"/>
          <w:szCs w:val="28"/>
          <w:lang w:eastAsia="en-US"/>
        </w:rPr>
        <w:t>е 2</w:t>
      </w:r>
      <w:r w:rsidR="007A0573" w:rsidRPr="007A0573">
        <w:rPr>
          <w:rFonts w:eastAsia="Calibri"/>
          <w:b/>
          <w:color w:val="000000"/>
          <w:szCs w:val="28"/>
          <w:lang w:eastAsia="en-US"/>
        </w:rPr>
        <w:t xml:space="preserve"> </w:t>
      </w:r>
      <w:r w:rsidR="00434C66">
        <w:rPr>
          <w:rFonts w:eastAsia="Calibri"/>
          <w:b/>
          <w:color w:val="000000"/>
          <w:szCs w:val="28"/>
          <w:lang w:eastAsia="en-US"/>
        </w:rPr>
        <w:t>«</w:t>
      </w:r>
      <w:r w:rsidR="007A0573" w:rsidRPr="00434C66">
        <w:rPr>
          <w:rFonts w:eastAsia="Calibri"/>
          <w:color w:val="000000"/>
          <w:szCs w:val="28"/>
          <w:lang w:eastAsia="en-US"/>
        </w:rPr>
        <w:t>Порядок проведения отбора получателей субсидий</w:t>
      </w:r>
      <w:r w:rsidR="00434C66">
        <w:rPr>
          <w:rFonts w:eastAsia="Calibri"/>
          <w:color w:val="000000"/>
          <w:szCs w:val="28"/>
          <w:lang w:eastAsia="en-US"/>
        </w:rPr>
        <w:t xml:space="preserve"> </w:t>
      </w:r>
      <w:r w:rsidR="007A0573" w:rsidRPr="00434C66">
        <w:rPr>
          <w:rFonts w:eastAsia="Calibri"/>
          <w:color w:val="000000"/>
          <w:szCs w:val="28"/>
          <w:lang w:eastAsia="en-US"/>
        </w:rPr>
        <w:t>для предоставления субсидий</w:t>
      </w:r>
      <w:r w:rsidR="00434C66">
        <w:rPr>
          <w:rFonts w:eastAsia="Calibri"/>
          <w:color w:val="000000"/>
          <w:szCs w:val="28"/>
          <w:lang w:eastAsia="en-US"/>
        </w:rPr>
        <w:t>»</w:t>
      </w:r>
      <w:r w:rsidR="007A0573" w:rsidRPr="00434C66">
        <w:rPr>
          <w:rFonts w:eastAsia="Calibri"/>
          <w:color w:val="000000"/>
          <w:szCs w:val="28"/>
          <w:lang w:eastAsia="en-US"/>
        </w:rPr>
        <w:t xml:space="preserve"> </w:t>
      </w:r>
      <w:r w:rsidRPr="00434C66">
        <w:rPr>
          <w:rFonts w:eastAsia="Calibri"/>
          <w:color w:val="000000"/>
          <w:szCs w:val="28"/>
          <w:lang w:eastAsia="en-US"/>
        </w:rPr>
        <w:t>настоящего Порядка и очередности поступления заявок.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Срок достижения заявленных целей: </w:t>
      </w:r>
      <w:proofErr w:type="gramStart"/>
      <w:r w:rsidRPr="00D91B97">
        <w:rPr>
          <w:szCs w:val="28"/>
        </w:rPr>
        <w:t>с даты вступления</w:t>
      </w:r>
      <w:proofErr w:type="gramEnd"/>
      <w:r w:rsidRPr="00D91B97">
        <w:rPr>
          <w:szCs w:val="28"/>
        </w:rPr>
        <w:t xml:space="preserve"> в силу проекта </w:t>
      </w:r>
      <w:r>
        <w:rPr>
          <w:szCs w:val="28"/>
        </w:rPr>
        <w:t>постановления</w:t>
      </w:r>
      <w:r w:rsidRPr="00D91B97">
        <w:rPr>
          <w:szCs w:val="28"/>
        </w:rPr>
        <w:t>, в связи с чем, отсутствует необходимость в последующем мониторинге достижения целей.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Дополнительные расходы потенциального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район), связанных с введением предлагаемого правового регулирования, не предполагается.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Риски введения предлагаемого правового регулирования отсутствуют.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соответствии с Порядком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1. Потенциальной группой участников общественных отношений, интересы которых будут затронуты правовым регулированием, являются:</w:t>
      </w:r>
    </w:p>
    <w:p w:rsidR="003017BD" w:rsidRDefault="00A401B3" w:rsidP="003017BD">
      <w:pPr>
        <w:ind w:firstLine="709"/>
        <w:jc w:val="both"/>
      </w:pPr>
      <w:r w:rsidRPr="00D91B97">
        <w:rPr>
          <w:szCs w:val="28"/>
        </w:rPr>
        <w:tab/>
      </w:r>
      <w:r w:rsidR="003017BD">
        <w:rPr>
          <w:color w:val="000000"/>
          <w:szCs w:val="28"/>
        </w:rPr>
        <w:t xml:space="preserve">- граждане, проживающие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</w:t>
      </w:r>
      <w:proofErr w:type="spellStart"/>
      <w:r w:rsidR="003017BD">
        <w:rPr>
          <w:color w:val="000000"/>
          <w:szCs w:val="28"/>
        </w:rPr>
        <w:t>Усть-Лабинский</w:t>
      </w:r>
      <w:proofErr w:type="spellEnd"/>
      <w:r w:rsidR="003017BD">
        <w:rPr>
          <w:color w:val="000000"/>
          <w:szCs w:val="28"/>
        </w:rPr>
        <w:t xml:space="preserve"> район в соответствии с действующим законодательством;</w:t>
      </w:r>
    </w:p>
    <w:p w:rsidR="003017BD" w:rsidRDefault="003017BD" w:rsidP="003017BD">
      <w:pPr>
        <w:ind w:firstLine="709"/>
        <w:jc w:val="both"/>
        <w:rPr>
          <w:szCs w:val="28"/>
        </w:rPr>
      </w:pPr>
      <w:r>
        <w:rPr>
          <w:szCs w:val="28"/>
        </w:rPr>
        <w:t>- крестьянские (фермерские) хозяйства, зарегистрированные и осуществляющие деятельность в области производства сельскохозяйственной продукции на территории Краснодарского края;</w:t>
      </w:r>
    </w:p>
    <w:p w:rsidR="003017BD" w:rsidRDefault="003017BD" w:rsidP="003017BD">
      <w:pPr>
        <w:ind w:firstLine="709"/>
        <w:jc w:val="both"/>
        <w:rPr>
          <w:szCs w:val="28"/>
        </w:rPr>
      </w:pPr>
      <w:r>
        <w:rPr>
          <w:szCs w:val="28"/>
        </w:rPr>
        <w:t>- индивидуальные предприниматели, 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3017BD" w:rsidRDefault="003017BD" w:rsidP="003017BD">
      <w:pPr>
        <w:ind w:firstLine="709"/>
        <w:jc w:val="both"/>
        <w:rPr>
          <w:szCs w:val="28"/>
        </w:rPr>
      </w:pPr>
      <w:r>
        <w:rPr>
          <w:szCs w:val="28"/>
        </w:rPr>
        <w:t>- 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(ОКПД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) ОК 0</w:t>
      </w:r>
      <w:r w:rsidR="00F4076B">
        <w:rPr>
          <w:szCs w:val="28"/>
        </w:rPr>
        <w:t>29</w:t>
      </w:r>
      <w:r>
        <w:rPr>
          <w:szCs w:val="28"/>
        </w:rPr>
        <w:t>-2014 (КПЕС 2008).</w:t>
      </w:r>
    </w:p>
    <w:p w:rsidR="006F6321" w:rsidRDefault="003017BD" w:rsidP="006F63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порядке, в соответствии с Гражданским кодексом Российской Федерации.</w:t>
      </w:r>
    </w:p>
    <w:p w:rsidR="003017BD" w:rsidRDefault="003017BD" w:rsidP="006F63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министерством финансов Краснодарского края.</w:t>
      </w:r>
    </w:p>
    <w:p w:rsidR="003017BD" w:rsidRPr="00434C66" w:rsidRDefault="003017BD" w:rsidP="003017BD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 субсидий исходя из критериев отбора, указанных в пункте 3.8 раздела 3</w:t>
      </w:r>
      <w:r w:rsidRPr="007A0573">
        <w:rPr>
          <w:rFonts w:eastAsia="Calibri"/>
          <w:b/>
          <w:color w:val="000000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Cs w:val="28"/>
          <w:lang w:eastAsia="en-US"/>
        </w:rPr>
        <w:t>«</w:t>
      </w:r>
      <w:r w:rsidRPr="00434C66">
        <w:rPr>
          <w:rFonts w:eastAsia="Calibri"/>
          <w:color w:val="000000"/>
          <w:szCs w:val="28"/>
          <w:lang w:eastAsia="en-US"/>
        </w:rPr>
        <w:t>Порядок проведения отбора получателей субсидий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434C66">
        <w:rPr>
          <w:rFonts w:eastAsia="Calibri"/>
          <w:color w:val="000000"/>
          <w:szCs w:val="28"/>
          <w:lang w:eastAsia="en-US"/>
        </w:rPr>
        <w:t>для предоставления субсидий</w:t>
      </w:r>
      <w:r>
        <w:rPr>
          <w:rFonts w:eastAsia="Calibri"/>
          <w:color w:val="000000"/>
          <w:szCs w:val="28"/>
          <w:lang w:eastAsia="en-US"/>
        </w:rPr>
        <w:t>»</w:t>
      </w:r>
      <w:r w:rsidRPr="00434C66">
        <w:rPr>
          <w:rFonts w:eastAsia="Calibri"/>
          <w:color w:val="000000"/>
          <w:szCs w:val="28"/>
          <w:lang w:eastAsia="en-US"/>
        </w:rPr>
        <w:t xml:space="preserve"> настоящего Порядка и очередности поступления заявок.</w:t>
      </w:r>
    </w:p>
    <w:p w:rsidR="0002501E" w:rsidRPr="00D10349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10349">
        <w:rPr>
          <w:szCs w:val="28"/>
        </w:rPr>
        <w:t xml:space="preserve">2. Проблема, на решение которой направлено правовое регулирование, заключается в </w:t>
      </w:r>
      <w:r w:rsidR="0002501E" w:rsidRPr="00D10349">
        <w:rPr>
          <w:szCs w:val="28"/>
        </w:rPr>
        <w:t>следующем:</w:t>
      </w:r>
    </w:p>
    <w:p w:rsidR="007B4F80" w:rsidRPr="00E96750" w:rsidRDefault="007B4F80" w:rsidP="007B4F80">
      <w:pPr>
        <w:ind w:firstLine="567"/>
        <w:jc w:val="both"/>
        <w:rPr>
          <w:szCs w:val="28"/>
        </w:rPr>
      </w:pPr>
      <w:r w:rsidRPr="00E96750">
        <w:rPr>
          <w:szCs w:val="28"/>
        </w:rPr>
        <w:t>Принятие МНПА обусловлено необходимостью приведения порядка в соответствие с региональным законодательством.</w:t>
      </w:r>
    </w:p>
    <w:p w:rsidR="007B4F80" w:rsidRPr="00E96750" w:rsidRDefault="007B4F80" w:rsidP="007B4F80">
      <w:pPr>
        <w:ind w:firstLine="142"/>
        <w:jc w:val="both"/>
        <w:outlineLvl w:val="0"/>
        <w:rPr>
          <w:szCs w:val="28"/>
        </w:rPr>
      </w:pPr>
      <w:r w:rsidRPr="00E96750">
        <w:rPr>
          <w:szCs w:val="28"/>
        </w:rPr>
        <w:t xml:space="preserve">       МНПА определяет сроки и последовательность действий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 w:rsidRPr="00E96750">
        <w:rPr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A401B3" w:rsidRPr="004936A8" w:rsidRDefault="007B4F80" w:rsidP="007B4F80">
      <w:pPr>
        <w:tabs>
          <w:tab w:val="left" w:pos="851"/>
        </w:tabs>
        <w:jc w:val="both"/>
        <w:rPr>
          <w:szCs w:val="28"/>
        </w:rPr>
      </w:pPr>
      <w:r w:rsidRPr="00E96750">
        <w:rPr>
          <w:szCs w:val="28"/>
        </w:rPr>
        <w:t xml:space="preserve">            Предусмотренное проектом правовое регулирование иными правовыми, информационными или организационными средствами не представляется возможным</w:t>
      </w:r>
      <w:r w:rsidR="00A401B3" w:rsidRPr="004936A8">
        <w:rPr>
          <w:szCs w:val="28"/>
        </w:rPr>
        <w:t>.</w:t>
      </w:r>
    </w:p>
    <w:p w:rsidR="00B63823" w:rsidRPr="00E96750" w:rsidRDefault="00A401B3" w:rsidP="00B63823">
      <w:pPr>
        <w:ind w:firstLine="567"/>
        <w:jc w:val="both"/>
        <w:rPr>
          <w:szCs w:val="28"/>
        </w:rPr>
      </w:pPr>
      <w:r w:rsidRPr="00174AF9">
        <w:rPr>
          <w:szCs w:val="28"/>
        </w:rPr>
        <w:t xml:space="preserve">3. </w:t>
      </w:r>
      <w:r w:rsidR="00B63823" w:rsidRPr="00E96750">
        <w:rPr>
          <w:szCs w:val="28"/>
        </w:rPr>
        <w:t>Цель предлагаемого правового регулирования - приведение МНПА в соответствие с региональным законодательством.</w:t>
      </w:r>
    </w:p>
    <w:p w:rsidR="00A401B3" w:rsidRPr="00174AF9" w:rsidRDefault="00B63823" w:rsidP="00B638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6750">
        <w:rPr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</w:t>
      </w:r>
      <w:r w:rsidR="006265E0">
        <w:rPr>
          <w:szCs w:val="28"/>
        </w:rPr>
        <w:t>.</w:t>
      </w:r>
    </w:p>
    <w:p w:rsidR="00A401B3" w:rsidRPr="00A5279E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A5279E">
        <w:rPr>
          <w:szCs w:val="28"/>
        </w:rPr>
        <w:t xml:space="preserve">4. Проект предусматривает положения, которые </w:t>
      </w:r>
      <w:r w:rsidR="006265E0">
        <w:rPr>
          <w:szCs w:val="28"/>
        </w:rPr>
        <w:t>устанавливают</w:t>
      </w:r>
      <w:r w:rsidRPr="00A5279E">
        <w:rPr>
          <w:szCs w:val="28"/>
        </w:rPr>
        <w:t xml:space="preserve"> </w:t>
      </w:r>
      <w:r w:rsidR="006265E0">
        <w:rPr>
          <w:szCs w:val="28"/>
        </w:rPr>
        <w:t xml:space="preserve">права и обязанности </w:t>
      </w:r>
      <w:r w:rsidRPr="00A5279E">
        <w:rPr>
          <w:szCs w:val="28"/>
        </w:rPr>
        <w:t xml:space="preserve">для </w:t>
      </w:r>
      <w:r w:rsidR="006265E0">
        <w:rPr>
          <w:szCs w:val="28"/>
        </w:rPr>
        <w:t>потенциальных адресатов предлагаемого правового регулирования</w:t>
      </w:r>
      <w:r w:rsidRPr="00A5279E">
        <w:rPr>
          <w:szCs w:val="28"/>
        </w:rPr>
        <w:t xml:space="preserve">. </w:t>
      </w:r>
    </w:p>
    <w:p w:rsidR="00A401B3" w:rsidRPr="00DB746E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B746E">
        <w:rPr>
          <w:szCs w:val="28"/>
        </w:rPr>
        <w:t xml:space="preserve">5.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DB746E">
        <w:rPr>
          <w:szCs w:val="28"/>
        </w:rPr>
        <w:t>Усть-Лабинский</w:t>
      </w:r>
      <w:proofErr w:type="spellEnd"/>
      <w:r w:rsidRPr="00DB746E">
        <w:rPr>
          <w:szCs w:val="28"/>
        </w:rPr>
        <w:t xml:space="preserve"> район </w:t>
      </w:r>
      <w:r w:rsidR="00CA3261">
        <w:rPr>
          <w:szCs w:val="28"/>
        </w:rPr>
        <w:t>отсутствуют.</w:t>
      </w:r>
    </w:p>
    <w:p w:rsidR="00B63823" w:rsidRPr="00E96750" w:rsidRDefault="00A401B3" w:rsidP="00B638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823">
        <w:rPr>
          <w:rFonts w:ascii="Times New Roman" w:hAnsi="Times New Roman" w:cs="Times New Roman"/>
          <w:sz w:val="28"/>
          <w:szCs w:val="28"/>
        </w:rPr>
        <w:tab/>
        <w:t>6.</w:t>
      </w:r>
      <w:r w:rsidRPr="00CA3261">
        <w:rPr>
          <w:szCs w:val="28"/>
        </w:rPr>
        <w:t xml:space="preserve"> </w:t>
      </w:r>
      <w:r w:rsidR="00B63823" w:rsidRPr="00E96750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="00AB71B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63823" w:rsidRPr="00E96750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97001E" w:rsidRDefault="00AB71BA" w:rsidP="00B6382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B63823" w:rsidRPr="00872144">
        <w:rPr>
          <w:szCs w:val="28"/>
        </w:rPr>
        <w:t>Необоснованные расходы, связанные с регулирующим воздействием проекта, отсутствуют</w:t>
      </w:r>
      <w:r w:rsidR="0097001E">
        <w:rPr>
          <w:szCs w:val="28"/>
        </w:rPr>
        <w:t>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3C7C09">
        <w:rPr>
          <w:szCs w:val="28"/>
        </w:rPr>
        <w:t>8</w:t>
      </w:r>
      <w:r w:rsidR="00C32784">
        <w:rPr>
          <w:szCs w:val="28"/>
        </w:rPr>
        <w:t xml:space="preserve"> июл</w:t>
      </w:r>
      <w:r w:rsidR="00E06EB2" w:rsidRPr="00CA3261">
        <w:rPr>
          <w:szCs w:val="28"/>
        </w:rPr>
        <w:t>я</w:t>
      </w:r>
      <w:r w:rsidRPr="00CA3261">
        <w:rPr>
          <w:szCs w:val="28"/>
        </w:rPr>
        <w:t xml:space="preserve"> 202</w:t>
      </w:r>
      <w:r w:rsidR="003C7C09">
        <w:rPr>
          <w:szCs w:val="28"/>
        </w:rPr>
        <w:t>2</w:t>
      </w:r>
      <w:r w:rsidRPr="00CA3261">
        <w:rPr>
          <w:szCs w:val="28"/>
        </w:rPr>
        <w:t xml:space="preserve"> года по </w:t>
      </w:r>
      <w:r w:rsidR="003C7C09">
        <w:rPr>
          <w:szCs w:val="28"/>
        </w:rPr>
        <w:t>21</w:t>
      </w:r>
      <w:r w:rsidRPr="00CA3261">
        <w:rPr>
          <w:szCs w:val="28"/>
        </w:rPr>
        <w:t xml:space="preserve"> </w:t>
      </w:r>
      <w:r w:rsidR="00E06EB2" w:rsidRPr="00CA3261">
        <w:rPr>
          <w:szCs w:val="28"/>
        </w:rPr>
        <w:t>ию</w:t>
      </w:r>
      <w:r w:rsidR="00E31924">
        <w:rPr>
          <w:szCs w:val="28"/>
        </w:rPr>
        <w:t>л</w:t>
      </w:r>
      <w:r w:rsidR="00E06EB2" w:rsidRPr="00CA3261">
        <w:rPr>
          <w:szCs w:val="28"/>
        </w:rPr>
        <w:t>я</w:t>
      </w:r>
      <w:r w:rsidRPr="00CA3261">
        <w:rPr>
          <w:szCs w:val="28"/>
        </w:rPr>
        <w:t xml:space="preserve"> 202</w:t>
      </w:r>
      <w:r w:rsidR="003C7C09">
        <w:rPr>
          <w:szCs w:val="28"/>
        </w:rPr>
        <w:t>2</w:t>
      </w:r>
      <w:r w:rsidRPr="00CA3261">
        <w:rPr>
          <w:szCs w:val="28"/>
        </w:rPr>
        <w:t xml:space="preserve"> года.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lastRenderedPageBreak/>
        <w:tab/>
        <w:t xml:space="preserve">8. Информация о проводимых публичных консультациях была размещена на официальном сайте администрации </w:t>
      </w:r>
      <w:proofErr w:type="gramStart"/>
      <w:r w:rsidRPr="00CA3261">
        <w:rPr>
          <w:szCs w:val="28"/>
        </w:rPr>
        <w:t>муниципального</w:t>
      </w:r>
      <w:proofErr w:type="gramEnd"/>
      <w:r w:rsidRPr="00CA3261">
        <w:rPr>
          <w:szCs w:val="28"/>
        </w:rPr>
        <w:t xml:space="preserve">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 (</w:t>
      </w:r>
      <w:hyperlink r:id="rId7" w:history="1">
        <w:r w:rsidRPr="00CA3261">
          <w:rPr>
            <w:rStyle w:val="a3"/>
            <w:color w:val="auto"/>
            <w:szCs w:val="28"/>
          </w:rPr>
          <w:t>http://www.adminustlabinsk.ru/</w:t>
        </w:r>
      </w:hyperlink>
      <w:r w:rsidRPr="00CA3261">
        <w:rPr>
          <w:szCs w:val="28"/>
        </w:rPr>
        <w:t>).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</w:r>
      <w:proofErr w:type="gramStart"/>
      <w:r w:rsidRPr="00CA3261"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 w:rsidRPr="00CA3261">
        <w:rPr>
          <w:szCs w:val="28"/>
        </w:rPr>
        <w:t>Усть-Лабинские</w:t>
      </w:r>
      <w:proofErr w:type="spellEnd"/>
      <w:r w:rsidRPr="00CA3261">
        <w:rPr>
          <w:szCs w:val="28"/>
        </w:rPr>
        <w:t xml:space="preserve"> фермеры» Якунину В.М., председателю Союза «</w:t>
      </w:r>
      <w:proofErr w:type="spellStart"/>
      <w:r w:rsidRPr="00CA3261">
        <w:rPr>
          <w:szCs w:val="28"/>
        </w:rPr>
        <w:t>Усть-Лабинская</w:t>
      </w:r>
      <w:proofErr w:type="spellEnd"/>
      <w:r w:rsidRPr="00CA3261">
        <w:rPr>
          <w:szCs w:val="28"/>
        </w:rPr>
        <w:t xml:space="preserve"> торгово-промышленная палата» Долгову С.Ю., общественному представителю Уполномоченного по защите прав предпринимателей в Краснодарском крае в Усть-Лабинском районе И.Н. Бондаренко, Косач А.С., заместителю председателя по правовым вопросам СПК «СК «Родина</w:t>
      </w:r>
      <w:proofErr w:type="gramEnd"/>
      <w:r w:rsidRPr="00CA3261">
        <w:rPr>
          <w:szCs w:val="28"/>
        </w:rPr>
        <w:t xml:space="preserve">» </w:t>
      </w:r>
      <w:proofErr w:type="gramStart"/>
      <w:r w:rsidRPr="00CA3261">
        <w:rPr>
          <w:szCs w:val="28"/>
        </w:rPr>
        <w:t xml:space="preserve">Макееву Д.М., заместителю председателя СПК (колхоз) «Восток» Короленко С.А.,   директору ООО «Фонтан» </w:t>
      </w:r>
      <w:proofErr w:type="spellStart"/>
      <w:r w:rsidRPr="00CA3261">
        <w:rPr>
          <w:szCs w:val="28"/>
        </w:rPr>
        <w:t>Поддубной</w:t>
      </w:r>
      <w:proofErr w:type="spellEnd"/>
      <w:r w:rsidRPr="00CA3261">
        <w:rPr>
          <w:szCs w:val="28"/>
        </w:rPr>
        <w:t xml:space="preserve"> О.Г., индивидуальному предпринимателю </w:t>
      </w:r>
      <w:proofErr w:type="spellStart"/>
      <w:r w:rsidRPr="00CA3261">
        <w:rPr>
          <w:szCs w:val="28"/>
        </w:rPr>
        <w:t>Овеченко</w:t>
      </w:r>
      <w:proofErr w:type="spellEnd"/>
      <w:r w:rsidRPr="00CA3261">
        <w:rPr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Pr="00CA3261">
        <w:rPr>
          <w:szCs w:val="28"/>
        </w:rPr>
        <w:t>Грущенко</w:t>
      </w:r>
      <w:proofErr w:type="spellEnd"/>
      <w:r w:rsidRPr="00CA3261">
        <w:rPr>
          <w:szCs w:val="28"/>
        </w:rPr>
        <w:t xml:space="preserve"> Л.П., главе КФХ Шубину С.П., главе КФХ </w:t>
      </w:r>
      <w:proofErr w:type="spellStart"/>
      <w:r w:rsidRPr="00CA3261">
        <w:rPr>
          <w:szCs w:val="28"/>
        </w:rPr>
        <w:t>Горшукову</w:t>
      </w:r>
      <w:proofErr w:type="spellEnd"/>
      <w:r w:rsidRPr="00CA3261">
        <w:rPr>
          <w:szCs w:val="28"/>
        </w:rPr>
        <w:t xml:space="preserve"> М.С., индивидуальному предпринимателю </w:t>
      </w:r>
      <w:proofErr w:type="spellStart"/>
      <w:r w:rsidRPr="00CA3261">
        <w:rPr>
          <w:szCs w:val="28"/>
        </w:rPr>
        <w:t>Рылиной</w:t>
      </w:r>
      <w:proofErr w:type="spellEnd"/>
      <w:r w:rsidRPr="00CA3261">
        <w:rPr>
          <w:szCs w:val="28"/>
        </w:rPr>
        <w:t xml:space="preserve"> Н.В. с которыми заключены соглашения о взаимодействии при проведении оценки регулирующего воздействия. 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10. </w:t>
      </w:r>
      <w:proofErr w:type="gramStart"/>
      <w:r w:rsidR="00EF1737"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район), и о возможности его дальнейшего согласования</w:t>
      </w:r>
      <w:r w:rsidRPr="00D91B97">
        <w:rPr>
          <w:szCs w:val="28"/>
        </w:rPr>
        <w:t xml:space="preserve">.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2E7D98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proofErr w:type="spellStart"/>
            <w:proofErr w:type="gramStart"/>
            <w:r>
              <w:rPr>
                <w:color w:val="000000" w:themeColor="text1"/>
                <w:szCs w:val="28"/>
              </w:rPr>
              <w:t>Гаценко</w:t>
            </w:r>
            <w:proofErr w:type="spellEnd"/>
            <w:r>
              <w:rPr>
                <w:color w:val="000000" w:themeColor="text1"/>
                <w:szCs w:val="28"/>
              </w:rPr>
              <w:t xml:space="preserve"> Н.В.</w:t>
            </w:r>
            <w:r w:rsidR="00B42456"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  <w:proofErr w:type="gramEnd"/>
          </w:p>
        </w:tc>
      </w:tr>
    </w:tbl>
    <w:p w:rsidR="008610CB" w:rsidRDefault="008610CB"/>
    <w:p w:rsidR="008610CB" w:rsidRDefault="008610CB"/>
    <w:p w:rsidR="00DA4075" w:rsidRDefault="00DA4075"/>
    <w:p w:rsidR="002E7D98" w:rsidRDefault="002E7D98"/>
    <w:p w:rsidR="002E7D98" w:rsidRDefault="002E7D98"/>
    <w:p w:rsidR="00DA4075" w:rsidRDefault="00DA4075"/>
    <w:p w:rsidR="00DA4075" w:rsidRDefault="00DA4075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>
        <w:rPr>
          <w:sz w:val="22"/>
          <w:szCs w:val="22"/>
        </w:rPr>
        <w:t>8</w:t>
      </w:r>
      <w:r w:rsidRPr="00E222D7">
        <w:rPr>
          <w:sz w:val="22"/>
          <w:szCs w:val="22"/>
        </w:rPr>
        <w:t>-</w:t>
      </w:r>
      <w:r>
        <w:rPr>
          <w:sz w:val="22"/>
          <w:szCs w:val="22"/>
        </w:rPr>
        <w:t>68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19" w:rsidRDefault="00B95319" w:rsidP="00112FD6">
      <w:r>
        <w:separator/>
      </w:r>
    </w:p>
  </w:endnote>
  <w:endnote w:type="continuationSeparator" w:id="0">
    <w:p w:rsidR="00B95319" w:rsidRDefault="00B9531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19" w:rsidRDefault="00B95319" w:rsidP="00112FD6">
      <w:r>
        <w:separator/>
      </w:r>
    </w:p>
  </w:footnote>
  <w:footnote w:type="continuationSeparator" w:id="0">
    <w:p w:rsidR="00B95319" w:rsidRDefault="00B95319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22145084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157B6"/>
    <w:rsid w:val="0002066E"/>
    <w:rsid w:val="0002501E"/>
    <w:rsid w:val="0003440A"/>
    <w:rsid w:val="000344DF"/>
    <w:rsid w:val="00043058"/>
    <w:rsid w:val="000436AA"/>
    <w:rsid w:val="00066A81"/>
    <w:rsid w:val="00070FCD"/>
    <w:rsid w:val="000813C9"/>
    <w:rsid w:val="00087550"/>
    <w:rsid w:val="00090C5D"/>
    <w:rsid w:val="000C322C"/>
    <w:rsid w:val="000D0080"/>
    <w:rsid w:val="000D2829"/>
    <w:rsid w:val="000D5EF9"/>
    <w:rsid w:val="000E208B"/>
    <w:rsid w:val="000E406A"/>
    <w:rsid w:val="000F1B3F"/>
    <w:rsid w:val="000F6BAE"/>
    <w:rsid w:val="00112FD6"/>
    <w:rsid w:val="00114971"/>
    <w:rsid w:val="0012656C"/>
    <w:rsid w:val="00133455"/>
    <w:rsid w:val="00136FFB"/>
    <w:rsid w:val="00151F4A"/>
    <w:rsid w:val="0015341F"/>
    <w:rsid w:val="00153E93"/>
    <w:rsid w:val="00155551"/>
    <w:rsid w:val="00157106"/>
    <w:rsid w:val="001612A3"/>
    <w:rsid w:val="00166E34"/>
    <w:rsid w:val="00174AF9"/>
    <w:rsid w:val="001A016F"/>
    <w:rsid w:val="001D00AB"/>
    <w:rsid w:val="001D03B5"/>
    <w:rsid w:val="001D162E"/>
    <w:rsid w:val="001D5903"/>
    <w:rsid w:val="002043F9"/>
    <w:rsid w:val="00214506"/>
    <w:rsid w:val="00214A12"/>
    <w:rsid w:val="00217063"/>
    <w:rsid w:val="00230C5A"/>
    <w:rsid w:val="002625DC"/>
    <w:rsid w:val="00265697"/>
    <w:rsid w:val="00266A74"/>
    <w:rsid w:val="0028238E"/>
    <w:rsid w:val="00294100"/>
    <w:rsid w:val="002A2860"/>
    <w:rsid w:val="002A44BF"/>
    <w:rsid w:val="002B3767"/>
    <w:rsid w:val="002E3288"/>
    <w:rsid w:val="002E7D98"/>
    <w:rsid w:val="0030127F"/>
    <w:rsid w:val="003017BD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2E7A"/>
    <w:rsid w:val="00370365"/>
    <w:rsid w:val="00372A1E"/>
    <w:rsid w:val="00374EBB"/>
    <w:rsid w:val="00381965"/>
    <w:rsid w:val="00395361"/>
    <w:rsid w:val="003A47D1"/>
    <w:rsid w:val="003B0DD0"/>
    <w:rsid w:val="003B1113"/>
    <w:rsid w:val="003B20E4"/>
    <w:rsid w:val="003B6CF5"/>
    <w:rsid w:val="003C4AC4"/>
    <w:rsid w:val="003C78A9"/>
    <w:rsid w:val="003C7C09"/>
    <w:rsid w:val="003D1A9D"/>
    <w:rsid w:val="003D506B"/>
    <w:rsid w:val="003E5A56"/>
    <w:rsid w:val="00401DFB"/>
    <w:rsid w:val="004053FD"/>
    <w:rsid w:val="004114CD"/>
    <w:rsid w:val="004159BB"/>
    <w:rsid w:val="0042101B"/>
    <w:rsid w:val="00422373"/>
    <w:rsid w:val="00427446"/>
    <w:rsid w:val="00432F30"/>
    <w:rsid w:val="00434C66"/>
    <w:rsid w:val="0044016F"/>
    <w:rsid w:val="004404AA"/>
    <w:rsid w:val="00454089"/>
    <w:rsid w:val="00456134"/>
    <w:rsid w:val="0046090B"/>
    <w:rsid w:val="00461EDD"/>
    <w:rsid w:val="004762DE"/>
    <w:rsid w:val="0047658A"/>
    <w:rsid w:val="0049015D"/>
    <w:rsid w:val="00491355"/>
    <w:rsid w:val="004936A8"/>
    <w:rsid w:val="00493F70"/>
    <w:rsid w:val="00495E78"/>
    <w:rsid w:val="004A2806"/>
    <w:rsid w:val="004B7D39"/>
    <w:rsid w:val="004D3AE5"/>
    <w:rsid w:val="004F3C25"/>
    <w:rsid w:val="0050692E"/>
    <w:rsid w:val="00511AD3"/>
    <w:rsid w:val="00516846"/>
    <w:rsid w:val="0054380A"/>
    <w:rsid w:val="005622A7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5D4223"/>
    <w:rsid w:val="005D49D4"/>
    <w:rsid w:val="005D78C3"/>
    <w:rsid w:val="00610CB6"/>
    <w:rsid w:val="00611B6C"/>
    <w:rsid w:val="006247EA"/>
    <w:rsid w:val="00625069"/>
    <w:rsid w:val="006265E0"/>
    <w:rsid w:val="0065176E"/>
    <w:rsid w:val="00656A9C"/>
    <w:rsid w:val="00674848"/>
    <w:rsid w:val="00676E24"/>
    <w:rsid w:val="00686F13"/>
    <w:rsid w:val="00697316"/>
    <w:rsid w:val="006B30AC"/>
    <w:rsid w:val="006C2135"/>
    <w:rsid w:val="006C7223"/>
    <w:rsid w:val="006D140D"/>
    <w:rsid w:val="006F0E2F"/>
    <w:rsid w:val="006F55FD"/>
    <w:rsid w:val="006F5923"/>
    <w:rsid w:val="006F6321"/>
    <w:rsid w:val="007027DB"/>
    <w:rsid w:val="007134E2"/>
    <w:rsid w:val="007341E1"/>
    <w:rsid w:val="00744B4D"/>
    <w:rsid w:val="00754C1B"/>
    <w:rsid w:val="007804C7"/>
    <w:rsid w:val="00791A34"/>
    <w:rsid w:val="00794438"/>
    <w:rsid w:val="00795EB7"/>
    <w:rsid w:val="007A0573"/>
    <w:rsid w:val="007A30FB"/>
    <w:rsid w:val="007A4837"/>
    <w:rsid w:val="007A5A83"/>
    <w:rsid w:val="007A6EC8"/>
    <w:rsid w:val="007B1016"/>
    <w:rsid w:val="007B27AF"/>
    <w:rsid w:val="007B4F80"/>
    <w:rsid w:val="007C4893"/>
    <w:rsid w:val="007F56F0"/>
    <w:rsid w:val="007F6F20"/>
    <w:rsid w:val="00803C2D"/>
    <w:rsid w:val="00806749"/>
    <w:rsid w:val="008143F2"/>
    <w:rsid w:val="00822E32"/>
    <w:rsid w:val="00827634"/>
    <w:rsid w:val="008533A6"/>
    <w:rsid w:val="008537CB"/>
    <w:rsid w:val="00854F40"/>
    <w:rsid w:val="008610CB"/>
    <w:rsid w:val="00867B9C"/>
    <w:rsid w:val="008758E0"/>
    <w:rsid w:val="0088371E"/>
    <w:rsid w:val="00887300"/>
    <w:rsid w:val="0089252F"/>
    <w:rsid w:val="008A48E5"/>
    <w:rsid w:val="008A7D98"/>
    <w:rsid w:val="008B2ECC"/>
    <w:rsid w:val="008B5A45"/>
    <w:rsid w:val="008B7880"/>
    <w:rsid w:val="008B7FDB"/>
    <w:rsid w:val="008C7403"/>
    <w:rsid w:val="008E24D2"/>
    <w:rsid w:val="008F3D01"/>
    <w:rsid w:val="008F50DF"/>
    <w:rsid w:val="0090442C"/>
    <w:rsid w:val="00911542"/>
    <w:rsid w:val="00915840"/>
    <w:rsid w:val="00923C9E"/>
    <w:rsid w:val="00925262"/>
    <w:rsid w:val="00925501"/>
    <w:rsid w:val="00926292"/>
    <w:rsid w:val="009301C7"/>
    <w:rsid w:val="00944F66"/>
    <w:rsid w:val="0097001E"/>
    <w:rsid w:val="009745AC"/>
    <w:rsid w:val="009764CA"/>
    <w:rsid w:val="00985200"/>
    <w:rsid w:val="0098553A"/>
    <w:rsid w:val="009A06B1"/>
    <w:rsid w:val="009A2C2F"/>
    <w:rsid w:val="009A4F86"/>
    <w:rsid w:val="009C0BBA"/>
    <w:rsid w:val="009C198F"/>
    <w:rsid w:val="009D2113"/>
    <w:rsid w:val="009D442A"/>
    <w:rsid w:val="009E2AEE"/>
    <w:rsid w:val="009F4D7B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A300B"/>
    <w:rsid w:val="00AA409C"/>
    <w:rsid w:val="00AA759A"/>
    <w:rsid w:val="00AB2E01"/>
    <w:rsid w:val="00AB57BD"/>
    <w:rsid w:val="00AB7182"/>
    <w:rsid w:val="00AB71BA"/>
    <w:rsid w:val="00AB73B4"/>
    <w:rsid w:val="00AC7EF0"/>
    <w:rsid w:val="00AD2C96"/>
    <w:rsid w:val="00AE05AB"/>
    <w:rsid w:val="00AE6179"/>
    <w:rsid w:val="00AF54AE"/>
    <w:rsid w:val="00AF6A64"/>
    <w:rsid w:val="00B0396B"/>
    <w:rsid w:val="00B03E6B"/>
    <w:rsid w:val="00B04897"/>
    <w:rsid w:val="00B140E6"/>
    <w:rsid w:val="00B217FF"/>
    <w:rsid w:val="00B22DB2"/>
    <w:rsid w:val="00B26318"/>
    <w:rsid w:val="00B35153"/>
    <w:rsid w:val="00B42456"/>
    <w:rsid w:val="00B43197"/>
    <w:rsid w:val="00B46901"/>
    <w:rsid w:val="00B50734"/>
    <w:rsid w:val="00B54119"/>
    <w:rsid w:val="00B63823"/>
    <w:rsid w:val="00B7011B"/>
    <w:rsid w:val="00B76DCC"/>
    <w:rsid w:val="00B77DC5"/>
    <w:rsid w:val="00B82004"/>
    <w:rsid w:val="00B87F88"/>
    <w:rsid w:val="00B91D6A"/>
    <w:rsid w:val="00B95319"/>
    <w:rsid w:val="00B9639A"/>
    <w:rsid w:val="00BA4337"/>
    <w:rsid w:val="00BB3CA2"/>
    <w:rsid w:val="00BB4269"/>
    <w:rsid w:val="00BC090F"/>
    <w:rsid w:val="00BC3672"/>
    <w:rsid w:val="00BC46AE"/>
    <w:rsid w:val="00BD23FE"/>
    <w:rsid w:val="00BE2AF3"/>
    <w:rsid w:val="00BE48FE"/>
    <w:rsid w:val="00BF0D40"/>
    <w:rsid w:val="00BF281A"/>
    <w:rsid w:val="00BF4EE3"/>
    <w:rsid w:val="00BF7BEF"/>
    <w:rsid w:val="00C242B6"/>
    <w:rsid w:val="00C2694F"/>
    <w:rsid w:val="00C32784"/>
    <w:rsid w:val="00C42BAD"/>
    <w:rsid w:val="00C43819"/>
    <w:rsid w:val="00C479ED"/>
    <w:rsid w:val="00C65015"/>
    <w:rsid w:val="00CA3261"/>
    <w:rsid w:val="00CA680C"/>
    <w:rsid w:val="00CB2B15"/>
    <w:rsid w:val="00CB5594"/>
    <w:rsid w:val="00CC3EC9"/>
    <w:rsid w:val="00CC3F8D"/>
    <w:rsid w:val="00CC64BE"/>
    <w:rsid w:val="00CD11BC"/>
    <w:rsid w:val="00CF658C"/>
    <w:rsid w:val="00CF6A62"/>
    <w:rsid w:val="00D10349"/>
    <w:rsid w:val="00D26F77"/>
    <w:rsid w:val="00D3601A"/>
    <w:rsid w:val="00D67E57"/>
    <w:rsid w:val="00D90520"/>
    <w:rsid w:val="00D92D46"/>
    <w:rsid w:val="00D936FC"/>
    <w:rsid w:val="00DA026A"/>
    <w:rsid w:val="00DA13E8"/>
    <w:rsid w:val="00DA4075"/>
    <w:rsid w:val="00DD18B7"/>
    <w:rsid w:val="00DE082E"/>
    <w:rsid w:val="00DE5E07"/>
    <w:rsid w:val="00DE6E20"/>
    <w:rsid w:val="00E026E6"/>
    <w:rsid w:val="00E06EB2"/>
    <w:rsid w:val="00E07228"/>
    <w:rsid w:val="00E07C62"/>
    <w:rsid w:val="00E14633"/>
    <w:rsid w:val="00E25396"/>
    <w:rsid w:val="00E2750D"/>
    <w:rsid w:val="00E31924"/>
    <w:rsid w:val="00E44121"/>
    <w:rsid w:val="00E4617A"/>
    <w:rsid w:val="00E51AB8"/>
    <w:rsid w:val="00E54B82"/>
    <w:rsid w:val="00E57957"/>
    <w:rsid w:val="00E70BB4"/>
    <w:rsid w:val="00E71D62"/>
    <w:rsid w:val="00E76154"/>
    <w:rsid w:val="00EA16A4"/>
    <w:rsid w:val="00EA1923"/>
    <w:rsid w:val="00EA2FA7"/>
    <w:rsid w:val="00EA6A3F"/>
    <w:rsid w:val="00EF1737"/>
    <w:rsid w:val="00EF324D"/>
    <w:rsid w:val="00F002E4"/>
    <w:rsid w:val="00F0205D"/>
    <w:rsid w:val="00F04267"/>
    <w:rsid w:val="00F4076B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74B8-F58F-4A22-83A1-A53E906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119</cp:revision>
  <cp:lastPrinted>2019-04-23T12:45:00Z</cp:lastPrinted>
  <dcterms:created xsi:type="dcterms:W3CDTF">2021-06-03T06:37:00Z</dcterms:created>
  <dcterms:modified xsi:type="dcterms:W3CDTF">2022-08-16T05:52:00Z</dcterms:modified>
</cp:coreProperties>
</file>