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Плана работы Контрольно-счетной палаты муниципального образования Усть-Лабинский район на 2018 год,                          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Ладожского сельского поселения Усть-Лабинского района». 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2017 год администрацией Ладожского сельского поселения предоставлена в полном объеме, и в основном,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тоже время, в ходе контрольного мероприятия были выявлены финансовые нарушения и нарушения порядка ведения бюджетного учета, составления годовой бюджетной отчетности в количестве 16 фактов на общую сумму 74 644 665,95 рублей, в том числе: финансовые нарушения на сумму 78 198,33 рублей, нарушения порядка ведения бюджетного учета и бюджетной отчетности на сумму 74 566 467,62 рублей.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главе Ладожского сельского поселения Усть-Лабинского района направлено представление Контрольно- счетной палаты для принятия мер по устранению выявленных нарушений.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Ладожского сельского поселения Усть-Лабинского района и прокуратура Усть-Лабинского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72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166</Words>
  <Characters>1238</Characters>
  <CharactersWithSpaces>1430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2023-01-26T12:39:00Z</dcterms:created>
  <dc:creator>User</dc:creator>
  <dc:description/>
  <dc:language>ru-RU</dc:language>
  <cp:lastModifiedBy/>
  <dcterms:modified xsi:type="dcterms:W3CDTF">2023-01-26T15:52:44Z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