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О действующих мерах  государственной поддержки в 2020 году  </w:t>
      </w:r>
    </w:p>
    <w:p>
      <w:pPr>
        <w:pStyle w:val="Normal"/>
        <w:spacing w:lineRule="auto" w:line="240" w:before="0" w:after="0"/>
        <w:ind w:hanging="0"/>
        <w:jc w:val="center"/>
        <w:rPr>
          <w:rFonts w:ascii="Times New Roman" w:hAnsi="Times New Roman" w:cs="Times New Roman"/>
          <w:b/>
          <w:b/>
          <w:bCs/>
          <w:sz w:val="28"/>
          <w:szCs w:val="28"/>
        </w:rPr>
      </w:pPr>
      <w:r>
        <w:rPr>
          <w:rFonts w:cs="Times New Roman" w:ascii="Times New Roman" w:hAnsi="Times New Roman"/>
          <w:b/>
          <w:bCs/>
          <w:sz w:val="28"/>
          <w:szCs w:val="28"/>
        </w:rPr>
        <w:t>(субсидии на возмещение части затрат)</w:t>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hanging="0"/>
        <w:rPr>
          <w:rFonts w:ascii="Times New Roman" w:hAnsi="Times New Roman" w:cs="Times New Roman"/>
          <w:sz w:val="28"/>
          <w:szCs w:val="28"/>
        </w:rPr>
      </w:pPr>
      <w:r>
        <w:rPr>
          <w:rFonts w:cs="Times New Roman" w:ascii="Times New Roman" w:hAnsi="Times New Roman"/>
          <w:sz w:val="28"/>
          <w:szCs w:val="28"/>
        </w:rPr>
      </w:r>
    </w:p>
    <w:p>
      <w:pPr>
        <w:pStyle w:val="HEADERTEXT"/>
        <w:ind w:firstLine="720"/>
        <w:jc w:val="both"/>
        <w:rPr>
          <w:rFonts w:ascii="Times New Roman" w:hAnsi="Times New Roman" w:cs="Times New Roman"/>
          <w:sz w:val="28"/>
          <w:szCs w:val="28"/>
        </w:rPr>
      </w:pPr>
      <w:r>
        <w:rPr>
          <w:rFonts w:cs="Times New Roman" w:ascii="Times New Roman" w:hAnsi="Times New Roman"/>
          <w:sz w:val="28"/>
          <w:szCs w:val="28"/>
        </w:rPr>
        <w:t>В рамках государственной программы Краснодарского края «Развитие промышленности Краснодарского края и повышение ее конкурентоспособности», утвержденной постановлением главы администрации (губернатора) Краснодарского края от 30 ноября 2015 г. № 1138 (далее – государственная программа) реализуются мероприятия по предоставлению субъектам деятельности в сфере промышленности субсидий на возмещение части затрат, понесенных на:</w:t>
      </w:r>
    </w:p>
    <w:p>
      <w:pPr>
        <w:pStyle w:val="HEADERTEXT"/>
        <w:ind w:firstLine="720"/>
        <w:jc w:val="both"/>
        <w:rPr/>
      </w:pPr>
      <w:r>
        <w:rPr>
          <w:rFonts w:cs="Times New Roman" w:ascii="Times New Roman" w:hAnsi="Times New Roman"/>
          <w:sz w:val="28"/>
          <w:szCs w:val="28"/>
        </w:rPr>
        <w:t xml:space="preserve">-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 2014 – 2021 годах, на пополнение оборотных средств и (или) на финансирование текущей производственной деятельности, направленных на производство промышленной продукции. Субсидии предоставляются из расчета не более трех четвертых ключевой ставки Банка России действующей на дату заключения кредитного договора, фактически произведенных получателем Субсидии затрат на уплату процентов за пользование кредитом или его части, возмещаются проценты в размере не более ¾ ставки Банка России, но не более 70% от фактически произведенных затрат по указанным платежам, максимальная сумма субсидии составляет </w:t>
        <w:br/>
        <w:t>5 млн рублей (для предприятий-участников национального проекта «Повышение производительности труда и поддержка занятости» возмещаются проценты не более ставки Банка России, но не более 95% от фактически произведенных затрат);</w:t>
      </w:r>
    </w:p>
    <w:p>
      <w:pPr>
        <w:pStyle w:val="HEADERTEXT"/>
        <w:ind w:firstLine="720"/>
        <w:jc w:val="both"/>
        <w:rPr/>
      </w:pPr>
      <w:r>
        <w:rPr>
          <w:rFonts w:cs="Times New Roman" w:ascii="Times New Roman" w:hAnsi="Times New Roman"/>
          <w:sz w:val="28"/>
          <w:szCs w:val="28"/>
        </w:rPr>
        <w:t>- реализацию инвестиционных проектов по модернизации и развитию промышленных производств.</w:t>
      </w:r>
      <w:r>
        <w:rPr/>
        <w:t xml:space="preserve"> </w:t>
      </w:r>
      <w:r>
        <w:rPr>
          <w:rFonts w:cs="Times New Roman" w:ascii="Times New Roman" w:hAnsi="Times New Roman"/>
          <w:sz w:val="28"/>
          <w:szCs w:val="28"/>
        </w:rPr>
        <w:t>Субсидии предоставляются в размере 10 процентов от фактически произведенных и документально подтвержденных затрат, максимальная сумма субсидии составляет 10 млн рублей (для предприятий-участников национального проекта «Повышение производительности труда и поддержка занятости» компенсируется 15% от фактически произведенных затрат);</w:t>
      </w:r>
    </w:p>
    <w:p>
      <w:pPr>
        <w:pStyle w:val="HEADERTEXT"/>
        <w:ind w:firstLine="720"/>
        <w:jc w:val="both"/>
        <w:rPr/>
      </w:pPr>
      <w:r>
        <w:rPr>
          <w:rFonts w:cs="Times New Roman" w:ascii="Times New Roman" w:hAnsi="Times New Roman"/>
          <w:sz w:val="28"/>
          <w:szCs w:val="28"/>
        </w:rPr>
        <w:t>- организацию производства промышленной продукции в целях обеспечения трудовой занятости осужденных. Субсидии предоставляются в размере 60 процентов от фактически произведенных и документально подтвержденных затрат, максимальная сумма субсидии составляет 0,5 млн рублей;</w:t>
      </w:r>
    </w:p>
    <w:p>
      <w:pPr>
        <w:pStyle w:val="HEADERTEXT"/>
        <w:ind w:firstLine="708"/>
        <w:jc w:val="both"/>
        <w:rPr/>
      </w:pPr>
      <w:r>
        <w:rPr>
          <w:rFonts w:cs="Times New Roman" w:ascii="Times New Roman" w:hAnsi="Times New Roman"/>
          <w:sz w:val="28"/>
          <w:szCs w:val="28"/>
        </w:rPr>
        <w:t>- технологическое присоединение к сетям инженерно-технического обеспечения. Субсидии предоставляются в размере 50 процентов от фактически произведенных и документально подтвержденных затрат, максимальная сумма субсидии составляет 2,5 млн рублей.</w:t>
      </w:r>
    </w:p>
    <w:p>
      <w:pPr>
        <w:pStyle w:val="HEADERTEXT"/>
        <w:ind w:firstLine="720"/>
        <w:jc w:val="both"/>
        <w:rPr>
          <w:rFonts w:ascii="Times New Roman" w:hAnsi="Times New Roman" w:cs="Times New Roman"/>
          <w:sz w:val="28"/>
          <w:szCs w:val="28"/>
        </w:rPr>
      </w:pPr>
      <w:r>
        <w:rPr>
          <w:rFonts w:cs="Times New Roman" w:ascii="Times New Roman" w:hAnsi="Times New Roman"/>
          <w:sz w:val="28"/>
          <w:szCs w:val="28"/>
        </w:rPr>
        <w:t xml:space="preserve">Основные требования, предъявляемые к потенциальным получателям субсидий, установлены приказом департамента от 21 июля 2017 г.                                             № 73 «Об утверждении порядков предоставления субсидий за счет средств краевого бюджета в рамках реализации мероприятий государственной программы Краснодарского края «Развитие промышленности Краснодарского края и повышение ее конкурентоспособности», утвержденной постановлением главы администрации (губернатора) Краснодарского края от 30 ноября 2015 г.                      № 1138». </w:t>
      </w:r>
    </w:p>
    <w:p>
      <w:pPr>
        <w:pStyle w:val="HEADERTEXT"/>
        <w:ind w:firstLine="720"/>
        <w:jc w:val="both"/>
        <w:rPr/>
      </w:pPr>
      <w:r>
        <w:rPr>
          <w:rFonts w:cs="Times New Roman" w:ascii="Times New Roman" w:hAnsi="Times New Roman"/>
          <w:sz w:val="28"/>
          <w:szCs w:val="28"/>
        </w:rPr>
        <w:t>Кроме этого, с 2020 года реализуется новое мероприятие государственной программы по предоставлению субсидий субъектам деятельности в сфере промышленности, осуществляющим деятельность в отрасли машиностроения Краснодарского края,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 Субсидии предоставляются в размере 10% от стоимости реализованной продукции (без учета НДС), максимальная сумма субсидий составляет 20 млн рублей.</w:t>
      </w:r>
    </w:p>
    <w:p>
      <w:pPr>
        <w:pStyle w:val="HEADERTEXT"/>
        <w:ind w:firstLine="720"/>
        <w:jc w:val="both"/>
        <w:rPr>
          <w:rFonts w:ascii="Times New Roman" w:hAnsi="Times New Roman" w:cs="Times New Roman"/>
          <w:sz w:val="28"/>
          <w:szCs w:val="28"/>
        </w:rPr>
      </w:pPr>
      <w:r>
        <w:rPr>
          <w:rFonts w:cs="Times New Roman" w:ascii="Times New Roman" w:hAnsi="Times New Roman"/>
          <w:sz w:val="28"/>
          <w:szCs w:val="28"/>
        </w:rPr>
        <w:t>Проект нормативного правового документа, регулирующего предоставление субсидий субъектам деятельности в сфере промышленности, осуществляющим деятельность в отрасли машиностроения Краснодарского края,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 проходит процедуру согласования.</w:t>
      </w:r>
    </w:p>
    <w:p>
      <w:pPr>
        <w:pStyle w:val="HEADERTEXT"/>
        <w:ind w:firstLine="708"/>
        <w:jc w:val="both"/>
        <w:rPr/>
      </w:pPr>
      <w:r>
        <w:rPr>
          <w:rFonts w:cs="Times New Roman" w:ascii="Times New Roman" w:hAnsi="Times New Roman"/>
          <w:sz w:val="28"/>
          <w:szCs w:val="28"/>
        </w:rPr>
        <w:t>Более подробную информацию по получению указанных мер государственной поддержки и начале приема заявлений на участие в конкурсном отборе можно получить на официальном сайте департамента по адресу: http://www.dppkk.ru/ в разделе «Государственная поддержка промышленности» или по телефонам: (861) 253-11-44, (861) 255-82-72.</w:t>
      </w:r>
    </w:p>
    <w:p>
      <w:pPr>
        <w:pStyle w:val="HEADERTEXT"/>
        <w:ind w:firstLine="708"/>
        <w:jc w:val="both"/>
        <w:rPr>
          <w:rFonts w:ascii="Times New Roman" w:hAnsi="Times New Roman" w:cs="Times New Roman"/>
          <w:sz w:val="28"/>
          <w:szCs w:val="28"/>
        </w:rPr>
      </w:pPr>
      <w:r>
        <w:rPr/>
      </w:r>
    </w:p>
    <w:p>
      <w:pPr>
        <w:pStyle w:val="HEADERTEXT"/>
        <w:ind w:firstLine="708"/>
        <w:jc w:val="both"/>
        <w:rPr>
          <w:rFonts w:ascii="Times New Roman" w:hAnsi="Times New Roman" w:cs="Times New Roman"/>
          <w:sz w:val="28"/>
          <w:szCs w:val="28"/>
        </w:rPr>
      </w:pPr>
      <w:r>
        <w:rPr/>
      </w:r>
    </w:p>
    <w:p>
      <w:pPr>
        <w:pStyle w:val="HEADERTEXT"/>
        <w:ind w:firstLine="708"/>
        <w:jc w:val="both"/>
        <w:rPr>
          <w:rFonts w:ascii="Times New Roman" w:hAnsi="Times New Roman" w:cs="Times New Roman"/>
          <w:sz w:val="28"/>
          <w:szCs w:val="28"/>
        </w:rPr>
      </w:pPr>
      <w:r>
        <w:rPr/>
      </w:r>
    </w:p>
    <w:p>
      <w:pPr>
        <w:pStyle w:val="HEADERTEXT"/>
        <w:ind w:firstLine="708"/>
        <w:jc w:val="both"/>
        <w:rPr>
          <w:rFonts w:ascii="Times New Roman" w:hAnsi="Times New Roman" w:cs="Times New Roman"/>
          <w:sz w:val="28"/>
          <w:szCs w:val="28"/>
        </w:rPr>
      </w:pPr>
      <w:r>
        <w:rPr/>
      </w:r>
    </w:p>
    <w:p>
      <w:pPr>
        <w:pStyle w:val="HEADERTEXT"/>
        <w:ind w:firstLine="708"/>
        <w:jc w:val="both"/>
        <w:rPr>
          <w:rFonts w:ascii="Times New Roman" w:hAnsi="Times New Roman" w:cs="Times New Roman"/>
          <w:sz w:val="28"/>
          <w:szCs w:val="28"/>
        </w:rPr>
      </w:pPr>
      <w:r>
        <w:rPr>
          <w:rFonts w:cs="Times New Roman" w:ascii="Times New Roman" w:hAnsi="Times New Roman"/>
          <w:sz w:val="28"/>
          <w:szCs w:val="28"/>
        </w:rPr>
        <w:t xml:space="preserve">Помимо этого, унитарная некоммерческая организация «Фонд развития промышленности Краснодарского края» (далее – Фонд) осуществляет деятельность по предоставлению льготных займов субъектам деятельности в сфере промышленности, которые могут быть направлены на реализацию инвестиционных проектов в части создания новых и модернизацию действующих промышленных производств, пополнение оборотных средств и финансирование текущей деятельности предприятия. В настоящее время льготные займы предоставляются по 10 направлениям, объем займов </w:t>
        <w:br/>
        <w:t>от 3 до 100 млн рублей, процентная ставка варьируется от 1% до 6 % годовых, срок займов до 10 лет.</w:t>
      </w:r>
    </w:p>
    <w:p>
      <w:pPr>
        <w:pStyle w:val="HEADERTEXT"/>
        <w:ind w:firstLine="708"/>
        <w:jc w:val="both"/>
        <w:rPr>
          <w:rFonts w:ascii="Times New Roman" w:hAnsi="Times New Roman" w:cs="Times New Roman"/>
          <w:sz w:val="28"/>
          <w:szCs w:val="28"/>
        </w:rPr>
      </w:pPr>
      <w:r>
        <w:rPr>
          <w:rFonts w:cs="Times New Roman" w:ascii="Times New Roman" w:hAnsi="Times New Roman"/>
          <w:sz w:val="28"/>
          <w:szCs w:val="28"/>
        </w:rPr>
        <w:t>По программам заемного финансирования также возможно приобрести промышленное оборудование (как нового, так и бывшее в употреблении, в том числе предназначенное для маркировки товаров, подлежащих обязательной маркировке средствами идентификации), спецтехнику – не более 30% от суммы займа, оборудование, предназначенное для обеспечения производства коммунальными ресурсами – не более 50% от суммы займа, оплатить строительно-монтажные работы, связанные со строительством новых производственных зданий – в размере не более 20% от суммы займа, сырье и материалы.</w:t>
      </w:r>
    </w:p>
    <w:p>
      <w:pPr>
        <w:pStyle w:val="HEADERTEXT"/>
        <w:ind w:firstLine="708"/>
        <w:jc w:val="both"/>
        <w:rPr>
          <w:rFonts w:ascii="Times New Roman" w:hAnsi="Times New Roman" w:cs="Times New Roman"/>
          <w:sz w:val="28"/>
          <w:szCs w:val="28"/>
        </w:rPr>
      </w:pPr>
      <w:r>
        <w:rPr>
          <w:rFonts w:cs="Times New Roman" w:ascii="Times New Roman" w:hAnsi="Times New Roman"/>
          <w:sz w:val="28"/>
          <w:szCs w:val="28"/>
        </w:rPr>
        <w:t>Кроме того, в соответствии с потребностями субъектов деятельности в сфере промышленности, осуществляющих свою деятельность на территории Краснодарского края, а также с целью поддержки вновь создаваемых промышленных предприятий, развития производств, Фондом запущены дополнительные программы заемного финансирования:</w:t>
      </w:r>
    </w:p>
    <w:p>
      <w:pPr>
        <w:pStyle w:val="HEADERTEXT"/>
        <w:ind w:firstLine="708"/>
        <w:jc w:val="both"/>
        <w:rPr>
          <w:rFonts w:ascii="Times New Roman" w:hAnsi="Times New Roman" w:cs="Times New Roman"/>
          <w:sz w:val="28"/>
          <w:szCs w:val="28"/>
        </w:rPr>
      </w:pPr>
      <w:r>
        <w:rPr>
          <w:rFonts w:cs="Times New Roman" w:ascii="Times New Roman" w:hAnsi="Times New Roman"/>
          <w:sz w:val="28"/>
          <w:szCs w:val="28"/>
        </w:rPr>
        <w:t>программа «Лизинговые проекты» имеет два направления, для финансирования от 10% до 90% (включительно) от первоначального взноса (аванса) приобретаемого в лизинг промышленного оборудования и финансирования проектов совместно с лизинговыми компаниями. Сумма займа составляет от 5 до 50 млн рублей под 1-3% годовых, срок займа до 5 лет;</w:t>
      </w:r>
    </w:p>
    <w:p>
      <w:pPr>
        <w:pStyle w:val="HEADERTEXT"/>
        <w:ind w:firstLine="708"/>
        <w:jc w:val="both"/>
        <w:rPr>
          <w:rFonts w:ascii="Times New Roman" w:hAnsi="Times New Roman" w:cs="Times New Roman"/>
          <w:sz w:val="28"/>
          <w:szCs w:val="28"/>
        </w:rPr>
      </w:pPr>
      <w:r>
        <w:rPr>
          <w:rFonts w:cs="Times New Roman" w:ascii="Times New Roman" w:hAnsi="Times New Roman"/>
          <w:sz w:val="28"/>
          <w:szCs w:val="28"/>
        </w:rPr>
        <w:t>программа «Бизнес привилегия» направлена на приобретение в собственность нового оборудования без дополнительного залогового обеспечения (под залог приобретаемого оборудования). Сумма займа составляет от 5 до 20 млн рублей под 1-4% годовых, срок займа до 5 лет.</w:t>
      </w:r>
    </w:p>
    <w:p>
      <w:pPr>
        <w:pStyle w:val="HEADERTEXT"/>
        <w:ind w:firstLine="708"/>
        <w:jc w:val="both"/>
        <w:rPr>
          <w:rFonts w:ascii="Times New Roman" w:hAnsi="Times New Roman" w:cs="Times New Roman"/>
          <w:sz w:val="28"/>
          <w:szCs w:val="28"/>
        </w:rPr>
      </w:pPr>
      <w:r>
        <w:rPr>
          <w:rFonts w:cs="Times New Roman" w:ascii="Times New Roman" w:hAnsi="Times New Roman"/>
          <w:sz w:val="28"/>
          <w:szCs w:val="28"/>
        </w:rPr>
        <w:t xml:space="preserve">Для предприятий-участников национального проекта «Производительность труда и поддержка занятости» предусмотрено снижение процентной ставки по основным программам Фонда до 2% годовых. </w:t>
        <w:br/>
        <w:t>По сниженным ставкам займы будут предоставляться также резидентам промышленных парков, экспортерам, победителям конкурса «Сделано на Кубани», производителям в приоритетных для края отраслях (легкая промышленность, производство мебели, деревообработка).</w:t>
      </w:r>
    </w:p>
    <w:p>
      <w:pPr>
        <w:pStyle w:val="HEADERTEXT"/>
        <w:ind w:firstLine="708"/>
        <w:jc w:val="both"/>
        <w:rPr>
          <w:rFonts w:ascii="Times New Roman" w:hAnsi="Times New Roman" w:cs="Times New Roman"/>
          <w:sz w:val="28"/>
          <w:szCs w:val="28"/>
        </w:rPr>
      </w:pPr>
      <w:r>
        <w:rPr>
          <w:rFonts w:cs="Times New Roman" w:ascii="Times New Roman" w:hAnsi="Times New Roman"/>
          <w:sz w:val="28"/>
          <w:szCs w:val="28"/>
        </w:rPr>
        <w:t>Дополнительно ознакомиться с условиями предоставления указанных льготных займов возможно на официальном сайте Фонда в информационно-телекоммуникационной сети «Интернет» www.frpkk.ru.</w:t>
      </w:r>
    </w:p>
    <w:p>
      <w:pPr>
        <w:pStyle w:val="HEADERTEXT"/>
        <w:ind w:firstLine="708"/>
        <w:jc w:val="both"/>
        <w:rPr>
          <w:rFonts w:ascii="Times New Roman" w:hAnsi="Times New Roman" w:cs="Times New Roman"/>
          <w:sz w:val="28"/>
          <w:szCs w:val="28"/>
        </w:rPr>
      </w:pPr>
      <w:r>
        <w:rPr>
          <w:rFonts w:cs="Times New Roman" w:ascii="Times New Roman" w:hAnsi="Times New Roman"/>
          <w:sz w:val="28"/>
          <w:szCs w:val="28"/>
        </w:rPr>
        <w:t>Консультации по вышеуказанным программам можно получить по следующим телефонам:</w:t>
      </w:r>
      <w:r>
        <w:rPr/>
        <w:t xml:space="preserve"> </w:t>
      </w:r>
      <w:r>
        <w:rPr>
          <w:rFonts w:cs="Times New Roman" w:ascii="Times New Roman" w:hAnsi="Times New Roman"/>
          <w:sz w:val="28"/>
          <w:szCs w:val="28"/>
        </w:rPr>
        <w:t xml:space="preserve">(861) 205-44-09, доб.203 – Белогоров Андрей Анатольевич, начальник отдела экспертизы инвестиционных проектов и консультационно-аналитической работы Фонда; (861) 205-44-09, доб.205 – </w:t>
        <w:br/>
        <w:t>Швед Владимир Борисович, заместитель начальника отдела экспертизы инвестиционных проектов и консультационно-аналитической работы Фонда;</w:t>
      </w:r>
      <w:r>
        <w:rPr/>
        <w:t xml:space="preserve"> </w:t>
      </w:r>
      <w:r>
        <w:rPr>
          <w:rFonts w:cs="Times New Roman" w:ascii="Times New Roman" w:hAnsi="Times New Roman"/>
          <w:sz w:val="28"/>
          <w:szCs w:val="28"/>
        </w:rPr>
        <w:t>(861) 205-44-09, доб.201 – Амочкина Юлия Александровна, ведущий специалист отдела экспертизы инвестиционных проектов и консультационно-аналитической работы Фонда;</w:t>
      </w:r>
      <w:r>
        <w:rPr/>
        <w:t xml:space="preserve"> </w:t>
      </w:r>
      <w:r>
        <w:rPr>
          <w:rFonts w:cs="Times New Roman" w:ascii="Times New Roman" w:hAnsi="Times New Roman"/>
          <w:sz w:val="28"/>
          <w:szCs w:val="28"/>
        </w:rPr>
        <w:t>(861) 205-44-09, доб.202 – Таран Ольга Олеговна, ведущий специалист отдела экспертизы инвестиционных проектов и консультационно-аналитической работы Фонда, (861) 205-44-09, доб.204 – Еременко Марина Петровна, ведущий специалист отдела экспертизы инвестиционных проектов и консультационно-аналитической работы Фонда.</w:t>
      </w:r>
    </w:p>
    <w:p>
      <w:pPr>
        <w:pStyle w:val="HEADERTEXT"/>
        <w:ind w:firstLine="708"/>
        <w:jc w:val="both"/>
        <w:rPr>
          <w:rFonts w:ascii="Times New Roman" w:hAnsi="Times New Roman" w:cs="Times New Roman"/>
          <w:sz w:val="28"/>
          <w:szCs w:val="28"/>
        </w:rPr>
      </w:pPr>
      <w:r>
        <w:rPr>
          <w:rFonts w:cs="Times New Roman" w:ascii="Times New Roman" w:hAnsi="Times New Roman"/>
          <w:sz w:val="28"/>
          <w:szCs w:val="28"/>
        </w:rPr>
        <w:t>В целях привлечения субъектов деятельности в сфере промышленности</w:t>
        <w:br/>
        <w:t>к участию в указанных мероприятиях, прошу Вас проинформировать субъекты деятельности в сфере промышленности, осуществляющие деятельность на территории возглавляемого Вами муниципального образования.</w:t>
      </w:r>
    </w:p>
    <w:p>
      <w:pPr>
        <w:pStyle w:val="HEADERTEXT"/>
        <w:ind w:firstLine="708"/>
        <w:jc w:val="both"/>
        <w:rPr>
          <w:rFonts w:ascii="Times New Roman" w:hAnsi="Times New Roman" w:cs="Times New Roman"/>
          <w:sz w:val="28"/>
          <w:szCs w:val="28"/>
        </w:rPr>
      </w:pPr>
      <w:r>
        <w:rPr>
          <w:rFonts w:cs="Times New Roman" w:ascii="Times New Roman" w:hAnsi="Times New Roman"/>
          <w:sz w:val="28"/>
          <w:szCs w:val="28"/>
        </w:rPr>
        <w:t>Кроме этого, в целях повышения качества информирования субъектов деятельности в сфере промышленности о действующих мерах государственной поддержки, прошу Вас рассмотреть техническую возможность размещения</w:t>
        <w:br/>
        <w:t>на официальном сайте администрации, возглавляемого Вами муниципального образования, баннера со ссылкой на навигатор мер государственной поддержки субъектов деятельности в сфере промышленности.</w:t>
      </w:r>
    </w:p>
    <w:p>
      <w:pPr>
        <w:pStyle w:val="HEADERTEXT"/>
        <w:ind w:firstLine="708"/>
        <w:jc w:val="both"/>
        <w:rPr>
          <w:rFonts w:ascii="Times New Roman" w:hAnsi="Times New Roman" w:cs="Times New Roman"/>
          <w:sz w:val="28"/>
          <w:szCs w:val="28"/>
        </w:rPr>
      </w:pPr>
      <w:r>
        <w:rPr>
          <w:rFonts w:cs="Times New Roman" w:ascii="Times New Roman" w:hAnsi="Times New Roman"/>
          <w:sz w:val="28"/>
          <w:szCs w:val="28"/>
        </w:rPr>
        <w:t xml:space="preserve">Во вложении к письму находятся 2 варианта баннера, необходимо разместить один из них с активной ссылкой на навигатор мер государственной поддержки – </w:t>
      </w:r>
      <w:r>
        <w:rPr/>
        <w:t xml:space="preserve"> </w:t>
      </w:r>
      <w:r>
        <w:rPr>
          <w:rFonts w:cs="Times New Roman" w:ascii="Times New Roman" w:hAnsi="Times New Roman"/>
          <w:sz w:val="28"/>
          <w:szCs w:val="28"/>
        </w:rPr>
        <w:t>http://frpkk.ru/fond/navigator-mer-podderzhki/.</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ab/>
        <w:t>По вопросам технического размещения баннера необходимо обращаться по телефону: 259-12-06, Тищенко Екатерина Евгеньевна.</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1843" w:hanging="1843"/>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Приложения: 1. Информация о льготных займах, предоставляемых Фондом </w:t>
        <w:br/>
        <w:t>на 8 л. в 1 экз.</w:t>
      </w:r>
    </w:p>
    <w:p>
      <w:pPr>
        <w:pStyle w:val="Normal"/>
        <w:spacing w:lineRule="auto" w:line="240" w:before="0" w:after="0"/>
        <w:ind w:left="1843" w:hanging="1843"/>
        <w:jc w:val="both"/>
        <w:rPr>
          <w:rFonts w:ascii="Times New Roman" w:hAnsi="Times New Roman" w:eastAsia="Calibri" w:cs="Times New Roman"/>
          <w:sz w:val="28"/>
          <w:szCs w:val="28"/>
        </w:rPr>
      </w:pPr>
      <w:r>
        <w:rPr>
          <w:rFonts w:eastAsia="Calibri" w:cs="Times New Roman" w:ascii="Times New Roman" w:hAnsi="Times New Roman"/>
          <w:sz w:val="28"/>
          <w:szCs w:val="28"/>
        </w:rPr>
        <w:tab/>
        <w:t xml:space="preserve">2. 2 варианта баннера для размещения на официальных сайтах </w:t>
        <w:br/>
        <w:t>на 2 л. в 1 экз.</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Заместитель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8"/>
          <w:szCs w:val="28"/>
        </w:rPr>
        <w:t>руководителя департамента                                                                      М.Г. Дорожков</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bookmarkStart w:id="0" w:name="_GoBack"/>
      <w:bookmarkEnd w:id="0"/>
      <w:r>
        <w:rPr>
          <w:rFonts w:eastAsia="Calibri" w:cs="Times New Roman" w:ascii="Times New Roman" w:hAnsi="Times New Roman"/>
          <w:sz w:val="24"/>
          <w:szCs w:val="24"/>
        </w:rPr>
        <w:t>Лопатина Юлия Николаевна</w:t>
      </w:r>
    </w:p>
    <w:p>
      <w:pPr>
        <w:pStyle w:val="Normal"/>
        <w:spacing w:lineRule="auto" w:line="240" w:before="0" w:after="0"/>
        <w:jc w:val="both"/>
        <w:rPr/>
      </w:pPr>
      <w:r>
        <w:rPr>
          <w:rFonts w:eastAsia="Calibri" w:cs="Times New Roman" w:ascii="Times New Roman" w:hAnsi="Times New Roman"/>
          <w:sz w:val="24"/>
          <w:szCs w:val="24"/>
        </w:rPr>
        <w:t>8 (861) 259-11-70</w:t>
      </w:r>
    </w:p>
    <w:sectPr>
      <w:headerReference w:type="default" r:id="rId2"/>
      <w:type w:val="nextPage"/>
      <w:pgSz w:w="11906" w:h="16838"/>
      <w:pgMar w:left="1701" w:right="567"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ourier New">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59729934"/>
    </w:sdtPr>
    <w:sdtContent>
      <w:p>
        <w:pPr>
          <w:pStyle w:val="Style24"/>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0</w:t>
        </w:r>
        <w:r>
          <w:rPr>
            <w:sz w:val="24"/>
            <w:szCs w:val="24"/>
            <w:rFonts w:cs="Times New Roman" w:ascii="Times New Roman" w:hAnsi="Times New Roman"/>
          </w:rPr>
          <w:fldChar w:fldCharType="end"/>
        </w:r>
      </w:p>
    </w:sdtContent>
  </w:sdt>
  <w:p>
    <w:pPr>
      <w:pStyle w:val="Style24"/>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1ff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TML" w:customStyle="1">
    <w:name w:val="Стандартный HTML Знак"/>
    <w:basedOn w:val="DefaultParagraphFont"/>
    <w:link w:val="HTML"/>
    <w:uiPriority w:val="99"/>
    <w:qFormat/>
    <w:rsid w:val="006b1ff3"/>
    <w:rPr>
      <w:rFonts w:ascii="Courier New" w:hAnsi="Courier New" w:eastAsia="Times New Roman" w:cs="Courier New"/>
      <w:sz w:val="20"/>
      <w:szCs w:val="20"/>
      <w:lang w:eastAsia="ru-RU"/>
    </w:rPr>
  </w:style>
  <w:style w:type="character" w:styleId="Style14">
    <w:name w:val="Интернет-ссылка"/>
    <w:basedOn w:val="DefaultParagraphFont"/>
    <w:uiPriority w:val="99"/>
    <w:unhideWhenUsed/>
    <w:rsid w:val="006b1ff3"/>
    <w:rPr>
      <w:color w:val="0000FF"/>
      <w:u w:val="single"/>
    </w:rPr>
  </w:style>
  <w:style w:type="character" w:styleId="Style15" w:customStyle="1">
    <w:name w:val="Верхний колонтитул Знак"/>
    <w:basedOn w:val="DefaultParagraphFont"/>
    <w:link w:val="a4"/>
    <w:uiPriority w:val="99"/>
    <w:qFormat/>
    <w:rsid w:val="006b1ff3"/>
    <w:rPr/>
  </w:style>
  <w:style w:type="character" w:styleId="Style16" w:customStyle="1">
    <w:name w:val="Текст выноски Знак"/>
    <w:basedOn w:val="DefaultParagraphFont"/>
    <w:link w:val="a6"/>
    <w:uiPriority w:val="99"/>
    <w:semiHidden/>
    <w:qFormat/>
    <w:rsid w:val="005f00fa"/>
    <w:rPr>
      <w:rFonts w:ascii="Segoe UI" w:hAnsi="Segoe UI" w:cs="Segoe UI"/>
      <w:sz w:val="18"/>
      <w:szCs w:val="18"/>
    </w:rPr>
  </w:style>
  <w:style w:type="character" w:styleId="Style17" w:customStyle="1">
    <w:name w:val="Нижний колонтитул Знак"/>
    <w:basedOn w:val="DefaultParagraphFont"/>
    <w:link w:val="a8"/>
    <w:uiPriority w:val="99"/>
    <w:qFormat/>
    <w:rsid w:val="003e3a39"/>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HEADERTEXT" w:customStyle="1">
    <w:name w:val=".HEADERTEXT"/>
    <w:uiPriority w:val="99"/>
    <w:qFormat/>
    <w:rsid w:val="006b1ff3"/>
    <w:pPr>
      <w:widowControl w:val="false"/>
      <w:bidi w:val="0"/>
      <w:spacing w:lineRule="auto" w:line="240" w:before="0" w:after="0"/>
      <w:jc w:val="left"/>
    </w:pPr>
    <w:rPr>
      <w:rFonts w:ascii="Arial" w:hAnsi="Arial" w:eastAsia="" w:cs="Arial" w:eastAsiaTheme="minorEastAsia"/>
      <w:color w:val="auto"/>
      <w:kern w:val="0"/>
      <w:sz w:val="22"/>
      <w:szCs w:val="22"/>
      <w:lang w:val="ru-RU" w:eastAsia="ru-RU" w:bidi="ar-SA"/>
    </w:rPr>
  </w:style>
  <w:style w:type="paragraph" w:styleId="HTMLPreformatted">
    <w:name w:val="HTML Preformatted"/>
    <w:basedOn w:val="Normal"/>
    <w:link w:val="HTML0"/>
    <w:uiPriority w:val="99"/>
    <w:unhideWhenUsed/>
    <w:qFormat/>
    <w:rsid w:val="006b1ff3"/>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Style23">
    <w:name w:val="Верхний и нижний колонтитулы"/>
    <w:basedOn w:val="Normal"/>
    <w:qFormat/>
    <w:pPr/>
    <w:rPr/>
  </w:style>
  <w:style w:type="paragraph" w:styleId="Style24">
    <w:name w:val="Header"/>
    <w:basedOn w:val="Normal"/>
    <w:link w:val="a5"/>
    <w:uiPriority w:val="99"/>
    <w:unhideWhenUsed/>
    <w:rsid w:val="006b1ff3"/>
    <w:pPr>
      <w:tabs>
        <w:tab w:val="clear" w:pos="708"/>
        <w:tab w:val="center" w:pos="4677" w:leader="none"/>
        <w:tab w:val="right" w:pos="9355" w:leader="none"/>
      </w:tabs>
      <w:spacing w:lineRule="auto" w:line="240" w:before="0" w:after="0"/>
    </w:pPr>
    <w:rPr/>
  </w:style>
  <w:style w:type="paragraph" w:styleId="BalloonText">
    <w:name w:val="Balloon Text"/>
    <w:basedOn w:val="Normal"/>
    <w:link w:val="a7"/>
    <w:uiPriority w:val="99"/>
    <w:semiHidden/>
    <w:unhideWhenUsed/>
    <w:qFormat/>
    <w:rsid w:val="005f00fa"/>
    <w:pPr>
      <w:spacing w:lineRule="auto" w:line="240" w:before="0" w:after="0"/>
    </w:pPr>
    <w:rPr>
      <w:rFonts w:ascii="Segoe UI" w:hAnsi="Segoe UI" w:cs="Segoe UI"/>
      <w:sz w:val="18"/>
      <w:szCs w:val="18"/>
    </w:rPr>
  </w:style>
  <w:style w:type="paragraph" w:styleId="Style25">
    <w:name w:val="Footer"/>
    <w:basedOn w:val="Normal"/>
    <w:link w:val="a9"/>
    <w:uiPriority w:val="99"/>
    <w:unhideWhenUsed/>
    <w:rsid w:val="003e3a39"/>
    <w:pPr>
      <w:tabs>
        <w:tab w:val="clear" w:pos="708"/>
        <w:tab w:val="center" w:pos="4677" w:leader="none"/>
        <w:tab w:val="right" w:pos="9355" w:leader="none"/>
      </w:tabs>
      <w:spacing w:lineRule="auto" w:line="240" w:before="0" w:after="0"/>
    </w:pPr>
    <w:rPr/>
  </w:style>
  <w:style w:type="paragraph" w:styleId="ConsPlusNormal" w:customStyle="1">
    <w:name w:val="ConsPlusNormal"/>
    <w:qFormat/>
    <w:rsid w:val="00144b3e"/>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Application>LibreOffice/6.3.1.2$Windows_x86 LibreOffice_project/b79626edf0065ac373bd1df5c28bd630b4424273</Application>
  <Pages>4</Pages>
  <Words>1063</Words>
  <Characters>8025</Characters>
  <CharactersWithSpaces>9218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2020-03-12T09:14:00Z</dcterms:created>
  <dc:creator>Шередекина Татьяна Владимировна</dc:creator>
  <dc:description/>
  <dc:language>ru-RU</dc:language>
  <cp:lastModifiedBy/>
  <cp:lastPrinted>2020-03-13T13:47:00Z</cp:lastPrinted>
  <dcterms:modified xsi:type="dcterms:W3CDTF">2020-03-24T13:09:40Z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